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F7CC0" w14:textId="77777777" w:rsidR="005F00F3" w:rsidRPr="00034A47" w:rsidRDefault="005F00F3" w:rsidP="005F00F3">
      <w:pPr>
        <w:pStyle w:val="NoSpacing"/>
        <w:rPr>
          <w:rFonts w:ascii="Times New Roman" w:hAnsi="Times New Roman" w:cs="Times New Roman"/>
          <w:b/>
          <w:bCs/>
          <w:sz w:val="24"/>
          <w:szCs w:val="24"/>
        </w:rPr>
      </w:pPr>
      <w:r w:rsidRPr="00034A47">
        <w:rPr>
          <w:rFonts w:ascii="Times New Roman" w:hAnsi="Times New Roman" w:cs="Times New Roman"/>
          <w:b/>
          <w:bCs/>
          <w:sz w:val="24"/>
          <w:szCs w:val="24"/>
        </w:rPr>
        <w:t>April 22, 2024</w:t>
      </w:r>
    </w:p>
    <w:p w14:paraId="492EF081" w14:textId="77777777" w:rsidR="005F00F3" w:rsidRPr="00034A47" w:rsidRDefault="005F00F3" w:rsidP="005F00F3">
      <w:pPr>
        <w:pStyle w:val="NoSpacing"/>
        <w:rPr>
          <w:rFonts w:ascii="Times New Roman" w:hAnsi="Times New Roman" w:cs="Times New Roman"/>
          <w:sz w:val="24"/>
          <w:szCs w:val="24"/>
        </w:rPr>
      </w:pPr>
    </w:p>
    <w:p w14:paraId="4026503C" w14:textId="1F0CCD5B" w:rsidR="005F00F3" w:rsidRPr="00034A47" w:rsidRDefault="005F00F3" w:rsidP="005F00F3">
      <w:pPr>
        <w:pStyle w:val="NoSpacing"/>
        <w:rPr>
          <w:rFonts w:ascii="Times New Roman" w:hAnsi="Times New Roman" w:cs="Times New Roman"/>
          <w:sz w:val="24"/>
          <w:szCs w:val="24"/>
        </w:rPr>
      </w:pPr>
      <w:r w:rsidRPr="00034A47">
        <w:rPr>
          <w:rFonts w:ascii="Times New Roman" w:hAnsi="Times New Roman" w:cs="Times New Roman"/>
          <w:sz w:val="24"/>
          <w:szCs w:val="24"/>
        </w:rPr>
        <w:t>Tara Hall</w:t>
      </w:r>
    </w:p>
    <w:p w14:paraId="680AA454" w14:textId="77777777" w:rsidR="005F00F3" w:rsidRPr="00034A47" w:rsidRDefault="005F00F3" w:rsidP="005F00F3">
      <w:pPr>
        <w:pStyle w:val="NoSpacing"/>
        <w:rPr>
          <w:rFonts w:ascii="Times New Roman" w:hAnsi="Times New Roman" w:cs="Times New Roman"/>
          <w:sz w:val="24"/>
          <w:szCs w:val="24"/>
        </w:rPr>
      </w:pPr>
      <w:r w:rsidRPr="00034A47">
        <w:rPr>
          <w:rFonts w:ascii="Times New Roman" w:hAnsi="Times New Roman" w:cs="Times New Roman"/>
          <w:sz w:val="24"/>
          <w:szCs w:val="24"/>
        </w:rPr>
        <w:t>MEDCAC Coordinator</w:t>
      </w:r>
    </w:p>
    <w:p w14:paraId="4565038D" w14:textId="77777777" w:rsidR="005F00F3" w:rsidRPr="00034A47" w:rsidRDefault="005F00F3" w:rsidP="005F00F3">
      <w:pPr>
        <w:pStyle w:val="NoSpacing"/>
        <w:rPr>
          <w:rFonts w:ascii="Times New Roman" w:hAnsi="Times New Roman" w:cs="Times New Roman"/>
          <w:sz w:val="24"/>
          <w:szCs w:val="24"/>
        </w:rPr>
      </w:pPr>
      <w:r w:rsidRPr="00034A47">
        <w:rPr>
          <w:rFonts w:ascii="Times New Roman" w:hAnsi="Times New Roman" w:cs="Times New Roman"/>
          <w:sz w:val="24"/>
          <w:szCs w:val="24"/>
        </w:rPr>
        <w:t xml:space="preserve">Letter via email:  </w:t>
      </w:r>
      <w:hyperlink r:id="rId11" w:history="1">
        <w:r w:rsidRPr="00034A47">
          <w:rPr>
            <w:rStyle w:val="Hyperlink"/>
            <w:rFonts w:ascii="Times New Roman" w:hAnsi="Times New Roman" w:cs="Times New Roman"/>
            <w:sz w:val="24"/>
            <w:szCs w:val="24"/>
          </w:rPr>
          <w:t>MedCACpresentations@cms.hhs.gov</w:t>
        </w:r>
      </w:hyperlink>
    </w:p>
    <w:p w14:paraId="51D92E3B" w14:textId="643ED3AA" w:rsidR="005F00F3" w:rsidRPr="00034A47" w:rsidRDefault="005F00F3" w:rsidP="005F00F3">
      <w:pPr>
        <w:pStyle w:val="NoSpacing"/>
        <w:rPr>
          <w:rFonts w:ascii="Times New Roman" w:hAnsi="Times New Roman" w:cs="Times New Roman"/>
          <w:sz w:val="24"/>
          <w:szCs w:val="24"/>
        </w:rPr>
      </w:pPr>
      <w:r w:rsidRPr="00034A47">
        <w:rPr>
          <w:rFonts w:ascii="Times New Roman" w:hAnsi="Times New Roman" w:cs="Times New Roman"/>
          <w:sz w:val="24"/>
          <w:szCs w:val="24"/>
        </w:rPr>
        <w:t xml:space="preserve">Cc: </w:t>
      </w:r>
      <w:hyperlink r:id="rId12" w:history="1">
        <w:r w:rsidRPr="00034A47">
          <w:rPr>
            <w:rStyle w:val="Hyperlink"/>
            <w:rFonts w:ascii="Times New Roman" w:hAnsi="Times New Roman" w:cs="Times New Roman"/>
            <w:sz w:val="24"/>
            <w:szCs w:val="24"/>
          </w:rPr>
          <w:t>Tara.Hall@cms.hhs.gov</w:t>
        </w:r>
      </w:hyperlink>
    </w:p>
    <w:p w14:paraId="2691E73A" w14:textId="77777777" w:rsidR="005F00F3" w:rsidRPr="00034A47" w:rsidRDefault="005F00F3" w:rsidP="005F00F3">
      <w:pPr>
        <w:pStyle w:val="NoSpacing"/>
        <w:rPr>
          <w:rFonts w:ascii="Times New Roman" w:hAnsi="Times New Roman" w:cs="Times New Roman"/>
          <w:sz w:val="24"/>
          <w:szCs w:val="24"/>
        </w:rPr>
      </w:pPr>
    </w:p>
    <w:p w14:paraId="6A25E935" w14:textId="77777777" w:rsidR="005F00F3" w:rsidRPr="00034A47" w:rsidRDefault="005F00F3" w:rsidP="005F00F3">
      <w:pPr>
        <w:pStyle w:val="NoSpacing"/>
        <w:rPr>
          <w:rFonts w:ascii="Times New Roman" w:hAnsi="Times New Roman" w:cs="Times New Roman"/>
          <w:sz w:val="24"/>
          <w:szCs w:val="24"/>
        </w:rPr>
      </w:pPr>
      <w:r w:rsidRPr="00034A47">
        <w:rPr>
          <w:rFonts w:ascii="Times New Roman" w:hAnsi="Times New Roman" w:cs="Times New Roman"/>
          <w:sz w:val="24"/>
          <w:szCs w:val="24"/>
        </w:rPr>
        <w:t>Dear Ms. Hall:</w:t>
      </w:r>
    </w:p>
    <w:p w14:paraId="36DBF41C" w14:textId="77777777" w:rsidR="005F00F3" w:rsidRPr="00034A47" w:rsidRDefault="005F00F3" w:rsidP="004F727D">
      <w:pPr>
        <w:pStyle w:val="NoSpacing"/>
        <w:jc w:val="both"/>
        <w:rPr>
          <w:rFonts w:ascii="Times New Roman" w:hAnsi="Times New Roman" w:cs="Times New Roman"/>
          <w:sz w:val="24"/>
          <w:szCs w:val="24"/>
        </w:rPr>
      </w:pPr>
    </w:p>
    <w:p w14:paraId="48B3B57A" w14:textId="638973B2" w:rsidR="00034A47" w:rsidRDefault="00034A47" w:rsidP="004F727D">
      <w:pPr>
        <w:spacing w:after="0" w:line="240" w:lineRule="auto"/>
        <w:jc w:val="both"/>
        <w:rPr>
          <w:rFonts w:ascii="Times New Roman" w:eastAsia="Times New Roman" w:hAnsi="Times New Roman" w:cs="Times New Roman"/>
          <w:sz w:val="24"/>
          <w:szCs w:val="24"/>
        </w:rPr>
      </w:pPr>
      <w:r w:rsidRPr="00034A47">
        <w:rPr>
          <w:rFonts w:ascii="Times New Roman" w:eastAsia="Times New Roman" w:hAnsi="Times New Roman" w:cs="Times New Roman"/>
          <w:sz w:val="24"/>
          <w:szCs w:val="24"/>
        </w:rPr>
        <w:t>We, the undersigned clinicians, in partnership with the Diabetes Technology Access Coalition (DTAC)</w:t>
      </w:r>
      <w:r w:rsidR="004B67B4">
        <w:rPr>
          <w:rStyle w:val="FootnoteReference"/>
          <w:rFonts w:ascii="Times New Roman" w:eastAsia="Times New Roman" w:hAnsi="Times New Roman" w:cs="Times New Roman"/>
          <w:sz w:val="24"/>
          <w:szCs w:val="24"/>
        </w:rPr>
        <w:footnoteReference w:id="2"/>
      </w:r>
      <w:r w:rsidRPr="00034A47">
        <w:rPr>
          <w:rFonts w:ascii="Times New Roman" w:eastAsia="Times New Roman" w:hAnsi="Times New Roman" w:cs="Times New Roman"/>
          <w:sz w:val="24"/>
          <w:szCs w:val="24"/>
        </w:rPr>
        <w:t xml:space="preserve"> appreciate the opportunity to provide these comments </w:t>
      </w:r>
      <w:r>
        <w:rPr>
          <w:rFonts w:ascii="Times New Roman" w:eastAsia="Times New Roman" w:hAnsi="Times New Roman" w:cs="Times New Roman"/>
          <w:sz w:val="24"/>
          <w:szCs w:val="24"/>
        </w:rPr>
        <w:t xml:space="preserve">for consideration as part of the May 21, </w:t>
      </w:r>
      <w:r w:rsidR="00EB54E5">
        <w:rPr>
          <w:rFonts w:ascii="Times New Roman" w:eastAsia="Times New Roman" w:hAnsi="Times New Roman" w:cs="Times New Roman"/>
          <w:sz w:val="24"/>
          <w:szCs w:val="24"/>
        </w:rPr>
        <w:t>2024,</w:t>
      </w:r>
      <w:r>
        <w:rPr>
          <w:rFonts w:ascii="Times New Roman" w:eastAsia="Times New Roman" w:hAnsi="Times New Roman" w:cs="Times New Roman"/>
          <w:sz w:val="24"/>
          <w:szCs w:val="24"/>
        </w:rPr>
        <w:t xml:space="preserve"> </w:t>
      </w:r>
      <w:r w:rsidRPr="00034A47">
        <w:rPr>
          <w:rFonts w:ascii="Times New Roman" w:eastAsia="Times New Roman" w:hAnsi="Times New Roman" w:cs="Times New Roman"/>
          <w:sz w:val="24"/>
          <w:szCs w:val="24"/>
        </w:rPr>
        <w:t>Virtual Meeting of the Medicare Evidence Development and Coverage Advisory Committee</w:t>
      </w:r>
      <w:r>
        <w:rPr>
          <w:rFonts w:ascii="Times New Roman" w:eastAsia="Times New Roman" w:hAnsi="Times New Roman" w:cs="Times New Roman"/>
          <w:sz w:val="24"/>
          <w:szCs w:val="24"/>
        </w:rPr>
        <w:t xml:space="preserve"> (MEDCAC)</w:t>
      </w:r>
      <w:r w:rsidRPr="00034A47">
        <w:rPr>
          <w:rFonts w:ascii="Times New Roman" w:eastAsia="Times New Roman" w:hAnsi="Times New Roman" w:cs="Times New Roman"/>
          <w:sz w:val="24"/>
          <w:szCs w:val="24"/>
        </w:rPr>
        <w:t>.</w:t>
      </w:r>
    </w:p>
    <w:p w14:paraId="4EE0580A" w14:textId="0F9E6089" w:rsidR="00EB54E5" w:rsidRDefault="00EB54E5" w:rsidP="004F727D">
      <w:pPr>
        <w:spacing w:after="0" w:line="240" w:lineRule="auto"/>
        <w:jc w:val="both"/>
        <w:rPr>
          <w:rFonts w:ascii="Times New Roman" w:eastAsia="Times New Roman" w:hAnsi="Times New Roman" w:cs="Times New Roman"/>
          <w:sz w:val="24"/>
          <w:szCs w:val="24"/>
        </w:rPr>
      </w:pPr>
    </w:p>
    <w:p w14:paraId="49EA26A2" w14:textId="52A0874A" w:rsidR="00EB54E5" w:rsidRPr="00034A47" w:rsidRDefault="00EB54E5" w:rsidP="004F72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clinicians, we have served in a variety of positions, including leading major endocrinology practices, serving as faculty in endocrinology </w:t>
      </w:r>
      <w:r w:rsidR="00EF276D">
        <w:rPr>
          <w:rFonts w:ascii="Times New Roman" w:eastAsia="Times New Roman" w:hAnsi="Times New Roman" w:cs="Times New Roman"/>
          <w:sz w:val="24"/>
          <w:szCs w:val="24"/>
        </w:rPr>
        <w:t>training</w:t>
      </w:r>
      <w:r>
        <w:rPr>
          <w:rFonts w:ascii="Times New Roman" w:eastAsia="Times New Roman" w:hAnsi="Times New Roman" w:cs="Times New Roman"/>
          <w:sz w:val="24"/>
          <w:szCs w:val="24"/>
        </w:rPr>
        <w:t xml:space="preserve"> programs, as investigators in numerous clinical trials</w:t>
      </w:r>
      <w:r w:rsidR="00AE1DE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on the standard setting committees for our professional societies.</w:t>
      </w:r>
    </w:p>
    <w:p w14:paraId="3145D500" w14:textId="77777777" w:rsidR="00034A47" w:rsidRPr="00034A47" w:rsidRDefault="00034A47" w:rsidP="004F727D">
      <w:pPr>
        <w:spacing w:after="0" w:line="240" w:lineRule="auto"/>
        <w:jc w:val="both"/>
        <w:rPr>
          <w:rFonts w:ascii="Times New Roman" w:eastAsia="Times New Roman" w:hAnsi="Times New Roman" w:cs="Times New Roman"/>
          <w:sz w:val="24"/>
          <w:szCs w:val="24"/>
        </w:rPr>
      </w:pPr>
    </w:p>
    <w:p w14:paraId="5F092602" w14:textId="54EBD597" w:rsidR="00034A47" w:rsidRPr="00034A47" w:rsidRDefault="00034A47" w:rsidP="004F727D">
      <w:pPr>
        <w:spacing w:after="0" w:line="240" w:lineRule="auto"/>
        <w:jc w:val="both"/>
        <w:rPr>
          <w:rFonts w:ascii="Times New Roman" w:eastAsia="Times New Roman" w:hAnsi="Times New Roman" w:cs="Times New Roman"/>
          <w:sz w:val="24"/>
          <w:szCs w:val="24"/>
        </w:rPr>
      </w:pPr>
      <w:r w:rsidRPr="00034A47">
        <w:rPr>
          <w:rFonts w:ascii="Times New Roman" w:eastAsia="Times New Roman" w:hAnsi="Times New Roman" w:cs="Times New Roman"/>
          <w:sz w:val="24"/>
          <w:szCs w:val="24"/>
        </w:rPr>
        <w:t xml:space="preserve">The DTAC is a cross-industry group of diabetes stakeholders. Collectively, </w:t>
      </w:r>
      <w:r w:rsidR="00EB54E5">
        <w:rPr>
          <w:rFonts w:ascii="Times New Roman" w:eastAsia="Times New Roman" w:hAnsi="Times New Roman" w:cs="Times New Roman"/>
          <w:sz w:val="24"/>
          <w:szCs w:val="24"/>
        </w:rPr>
        <w:t xml:space="preserve">the coalition members </w:t>
      </w:r>
      <w:r w:rsidRPr="00034A47">
        <w:rPr>
          <w:rFonts w:ascii="Times New Roman" w:eastAsia="Times New Roman" w:hAnsi="Times New Roman" w:cs="Times New Roman"/>
          <w:sz w:val="24"/>
          <w:szCs w:val="24"/>
        </w:rPr>
        <w:t xml:space="preserve">represent millions of Americans with diabetes, health care professionals who treat them, and major manufacturers that </w:t>
      </w:r>
      <w:r w:rsidR="00A15D0A">
        <w:rPr>
          <w:rFonts w:ascii="Times New Roman" w:eastAsia="Times New Roman" w:hAnsi="Times New Roman" w:cs="Times New Roman"/>
          <w:sz w:val="24"/>
          <w:szCs w:val="24"/>
        </w:rPr>
        <w:t>develop</w:t>
      </w:r>
      <w:r w:rsidRPr="00034A47">
        <w:rPr>
          <w:rFonts w:ascii="Times New Roman" w:eastAsia="Times New Roman" w:hAnsi="Times New Roman" w:cs="Times New Roman"/>
          <w:sz w:val="24"/>
          <w:szCs w:val="24"/>
        </w:rPr>
        <w:t xml:space="preserve"> diabetes therapies, equipment, and supplies. Thus, our coalition represents those who manufacture and develop diabetes technology, the health care professionals who rely on this technology to best treat their patients, and the patients who benefit from the technologies.</w:t>
      </w:r>
    </w:p>
    <w:p w14:paraId="7C6A99F8" w14:textId="1E796130" w:rsidR="00EB54E5" w:rsidRDefault="00EB54E5" w:rsidP="004F727D">
      <w:pPr>
        <w:pStyle w:val="NoSpacing"/>
        <w:jc w:val="both"/>
        <w:rPr>
          <w:rFonts w:ascii="Times New Roman" w:hAnsi="Times New Roman" w:cs="Times New Roman"/>
          <w:sz w:val="24"/>
          <w:szCs w:val="24"/>
        </w:rPr>
      </w:pPr>
    </w:p>
    <w:p w14:paraId="319231CD" w14:textId="4D49484D" w:rsidR="00EB54E5" w:rsidRDefault="00EB54E5" w:rsidP="004F727D">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purpose of the MEDCAC meeting is to consider three specific questions as they relate to 21 specific </w:t>
      </w:r>
      <w:r w:rsidR="001B1B56">
        <w:rPr>
          <w:rFonts w:ascii="Times New Roman" w:hAnsi="Times New Roman" w:cs="Times New Roman"/>
          <w:sz w:val="24"/>
          <w:szCs w:val="24"/>
        </w:rPr>
        <w:t>endpoint</w:t>
      </w:r>
      <w:r>
        <w:rPr>
          <w:rFonts w:ascii="Times New Roman" w:hAnsi="Times New Roman" w:cs="Times New Roman"/>
          <w:sz w:val="24"/>
          <w:szCs w:val="24"/>
        </w:rPr>
        <w:t>s that could be used in clinical trials of devices used by people with either type 1 or insulin-</w:t>
      </w:r>
      <w:r w:rsidR="00A15D0A">
        <w:rPr>
          <w:rFonts w:ascii="Times New Roman" w:hAnsi="Times New Roman" w:cs="Times New Roman"/>
          <w:sz w:val="24"/>
          <w:szCs w:val="24"/>
        </w:rPr>
        <w:t xml:space="preserve">requiring </w:t>
      </w:r>
      <w:r>
        <w:rPr>
          <w:rFonts w:ascii="Times New Roman" w:hAnsi="Times New Roman" w:cs="Times New Roman"/>
          <w:sz w:val="24"/>
          <w:szCs w:val="24"/>
        </w:rPr>
        <w:t>type 2 diabetes</w:t>
      </w:r>
      <w:r w:rsidR="00497E86">
        <w:rPr>
          <w:rFonts w:ascii="Times New Roman" w:hAnsi="Times New Roman" w:cs="Times New Roman"/>
          <w:sz w:val="24"/>
          <w:szCs w:val="24"/>
        </w:rPr>
        <w:t xml:space="preserve"> (“</w:t>
      </w:r>
      <w:r w:rsidR="001B1B56">
        <w:rPr>
          <w:rFonts w:ascii="Times New Roman" w:hAnsi="Times New Roman" w:cs="Times New Roman"/>
          <w:sz w:val="24"/>
          <w:szCs w:val="24"/>
        </w:rPr>
        <w:t>endpoint</w:t>
      </w:r>
      <w:r w:rsidR="00497E86">
        <w:rPr>
          <w:rFonts w:ascii="Times New Roman" w:hAnsi="Times New Roman" w:cs="Times New Roman"/>
          <w:sz w:val="24"/>
          <w:szCs w:val="24"/>
        </w:rPr>
        <w:t>s feedback”)</w:t>
      </w:r>
      <w:r>
        <w:rPr>
          <w:rFonts w:ascii="Times New Roman" w:hAnsi="Times New Roman" w:cs="Times New Roman"/>
          <w:sz w:val="24"/>
          <w:szCs w:val="24"/>
        </w:rPr>
        <w:t xml:space="preserve">.  Below, we provide our perspective on these questions </w:t>
      </w:r>
      <w:r w:rsidR="00A15D0A">
        <w:rPr>
          <w:rFonts w:ascii="Times New Roman" w:hAnsi="Times New Roman" w:cs="Times New Roman"/>
          <w:sz w:val="24"/>
          <w:szCs w:val="24"/>
        </w:rPr>
        <w:t>across three of the four domains</w:t>
      </w:r>
      <w:r w:rsidR="008656C7">
        <w:rPr>
          <w:rFonts w:ascii="Times New Roman" w:hAnsi="Times New Roman" w:cs="Times New Roman"/>
          <w:sz w:val="24"/>
          <w:szCs w:val="24"/>
        </w:rPr>
        <w:t xml:space="preserve"> (surrogate markers, health outcomes, and quality of life) </w:t>
      </w:r>
      <w:r w:rsidR="00A15D0A">
        <w:rPr>
          <w:rFonts w:ascii="Times New Roman" w:hAnsi="Times New Roman" w:cs="Times New Roman"/>
          <w:sz w:val="24"/>
          <w:szCs w:val="24"/>
        </w:rPr>
        <w:t xml:space="preserve"> to which these </w:t>
      </w:r>
      <w:r w:rsidR="001B1B56">
        <w:rPr>
          <w:rFonts w:ascii="Times New Roman" w:hAnsi="Times New Roman" w:cs="Times New Roman"/>
          <w:sz w:val="24"/>
          <w:szCs w:val="24"/>
        </w:rPr>
        <w:t>endpoint</w:t>
      </w:r>
      <w:r w:rsidR="00A15D0A">
        <w:rPr>
          <w:rFonts w:ascii="Times New Roman" w:hAnsi="Times New Roman" w:cs="Times New Roman"/>
          <w:sz w:val="24"/>
          <w:szCs w:val="24"/>
        </w:rPr>
        <w:t>s are assigned</w:t>
      </w:r>
      <w:r>
        <w:rPr>
          <w:rFonts w:ascii="Times New Roman" w:hAnsi="Times New Roman" w:cs="Times New Roman"/>
          <w:sz w:val="24"/>
          <w:szCs w:val="24"/>
        </w:rPr>
        <w:t>.</w:t>
      </w:r>
      <w:r w:rsidR="00A15D0A">
        <w:rPr>
          <w:rFonts w:ascii="Times New Roman" w:hAnsi="Times New Roman" w:cs="Times New Roman"/>
          <w:sz w:val="24"/>
          <w:szCs w:val="24"/>
        </w:rPr>
        <w:t xml:space="preserve"> We appreciate the attention to these issues and the consideration of these comments. </w:t>
      </w:r>
    </w:p>
    <w:p w14:paraId="7F3A64A6" w14:textId="77777777" w:rsidR="007951E0" w:rsidRDefault="007951E0" w:rsidP="004F727D">
      <w:pPr>
        <w:pStyle w:val="NoSpacing"/>
        <w:jc w:val="both"/>
        <w:rPr>
          <w:rFonts w:ascii="Times New Roman" w:hAnsi="Times New Roman" w:cs="Times New Roman"/>
          <w:sz w:val="24"/>
          <w:szCs w:val="24"/>
        </w:rPr>
      </w:pPr>
    </w:p>
    <w:p w14:paraId="57224F54" w14:textId="78C2B4EA" w:rsidR="00864C3B" w:rsidRDefault="00A450FD" w:rsidP="00AE1DE8">
      <w:pPr>
        <w:pStyle w:val="NoSpacing"/>
        <w:jc w:val="both"/>
        <w:rPr>
          <w:rFonts w:ascii="Times New Roman" w:hAnsi="Times New Roman" w:cs="Times New Roman"/>
          <w:sz w:val="24"/>
          <w:szCs w:val="24"/>
        </w:rPr>
      </w:pPr>
      <w:r>
        <w:rPr>
          <w:rFonts w:ascii="Times New Roman" w:hAnsi="Times New Roman" w:cs="Times New Roman"/>
          <w:sz w:val="24"/>
          <w:szCs w:val="24"/>
        </w:rPr>
        <w:t>However,</w:t>
      </w:r>
      <w:r w:rsidR="00024EB6">
        <w:rPr>
          <w:rFonts w:ascii="Times New Roman" w:hAnsi="Times New Roman" w:cs="Times New Roman"/>
          <w:sz w:val="24"/>
          <w:szCs w:val="24"/>
        </w:rPr>
        <w:t xml:space="preserve"> before we address specific questions,</w:t>
      </w:r>
      <w:r>
        <w:rPr>
          <w:rFonts w:ascii="Times New Roman" w:hAnsi="Times New Roman" w:cs="Times New Roman"/>
          <w:sz w:val="24"/>
          <w:szCs w:val="24"/>
        </w:rPr>
        <w:t xml:space="preserve"> we wish to express our concern</w:t>
      </w:r>
      <w:r w:rsidR="003920C2">
        <w:rPr>
          <w:rFonts w:ascii="Times New Roman" w:hAnsi="Times New Roman" w:cs="Times New Roman"/>
          <w:sz w:val="24"/>
          <w:szCs w:val="24"/>
        </w:rPr>
        <w:t xml:space="preserve"> that </w:t>
      </w:r>
      <w:r w:rsidR="00C74429">
        <w:rPr>
          <w:rFonts w:ascii="Times New Roman" w:hAnsi="Times New Roman" w:cs="Times New Roman"/>
          <w:sz w:val="24"/>
          <w:szCs w:val="24"/>
        </w:rPr>
        <w:t xml:space="preserve">the meeting format and assessment </w:t>
      </w:r>
      <w:r w:rsidR="00217632">
        <w:rPr>
          <w:rFonts w:ascii="Times New Roman" w:hAnsi="Times New Roman" w:cs="Times New Roman"/>
          <w:sz w:val="24"/>
          <w:szCs w:val="24"/>
        </w:rPr>
        <w:t>does not clearly specify</w:t>
      </w:r>
      <w:r w:rsidR="00C74429">
        <w:rPr>
          <w:rFonts w:ascii="Times New Roman" w:hAnsi="Times New Roman" w:cs="Times New Roman"/>
          <w:sz w:val="24"/>
          <w:szCs w:val="24"/>
        </w:rPr>
        <w:t xml:space="preserve"> what MEDCAC is seeking to address. For example, the MEDCAC panel is examining “health outcomes in studies of devices for self-management” of type 1 and insulin-requiring type 2 diabetes that should be of interest to CMS. This scope does not specify or recognize the current state of diabetes care and clinical practice guidelines regarding diabetes technologies. The American Diabetes Association clearly states</w:t>
      </w:r>
      <w:r w:rsidR="001F0C91">
        <w:rPr>
          <w:rFonts w:ascii="Times New Roman" w:hAnsi="Times New Roman" w:cs="Times New Roman"/>
          <w:sz w:val="24"/>
          <w:szCs w:val="24"/>
        </w:rPr>
        <w:t xml:space="preserve">, based on </w:t>
      </w:r>
      <w:r w:rsidR="00521246">
        <w:rPr>
          <w:rFonts w:ascii="Times New Roman" w:hAnsi="Times New Roman" w:cs="Times New Roman"/>
          <w:sz w:val="24"/>
          <w:szCs w:val="24"/>
        </w:rPr>
        <w:t>“A” grade</w:t>
      </w:r>
      <w:r w:rsidR="001F0C91">
        <w:rPr>
          <w:rFonts w:ascii="Times New Roman" w:hAnsi="Times New Roman" w:cs="Times New Roman"/>
          <w:sz w:val="24"/>
          <w:szCs w:val="24"/>
        </w:rPr>
        <w:t xml:space="preserve"> evidence,</w:t>
      </w:r>
      <w:r w:rsidR="00521246">
        <w:rPr>
          <w:rFonts w:ascii="Times New Roman" w:hAnsi="Times New Roman" w:cs="Times New Roman"/>
          <w:sz w:val="24"/>
          <w:szCs w:val="24"/>
        </w:rPr>
        <w:t xml:space="preserve"> </w:t>
      </w:r>
      <w:r w:rsidR="00C74429">
        <w:rPr>
          <w:rFonts w:ascii="Times New Roman" w:hAnsi="Times New Roman" w:cs="Times New Roman"/>
          <w:sz w:val="24"/>
          <w:szCs w:val="24"/>
        </w:rPr>
        <w:t xml:space="preserve">that real-time continuous glucose monitors (CGMs) and </w:t>
      </w:r>
      <w:r w:rsidR="00521246">
        <w:rPr>
          <w:rFonts w:ascii="Times New Roman" w:hAnsi="Times New Roman" w:cs="Times New Roman"/>
          <w:sz w:val="24"/>
          <w:szCs w:val="24"/>
        </w:rPr>
        <w:t>insulin pump therapy should be available for all individuals with type 1 or insulin-requiring type 2 diabetes</w:t>
      </w:r>
      <w:r w:rsidR="00864C3B">
        <w:rPr>
          <w:rFonts w:ascii="Times New Roman" w:hAnsi="Times New Roman" w:cs="Times New Roman"/>
          <w:sz w:val="24"/>
          <w:szCs w:val="24"/>
        </w:rPr>
        <w:t xml:space="preserve"> (e.g., those individuals with diabetes using insulin)</w:t>
      </w:r>
      <w:r w:rsidR="00521246">
        <w:rPr>
          <w:rFonts w:ascii="Times New Roman" w:hAnsi="Times New Roman" w:cs="Times New Roman"/>
          <w:sz w:val="24"/>
          <w:szCs w:val="24"/>
        </w:rPr>
        <w:t>.</w:t>
      </w:r>
      <w:r w:rsidR="00521246">
        <w:rPr>
          <w:rStyle w:val="FootnoteReference"/>
          <w:rFonts w:ascii="Times New Roman" w:hAnsi="Times New Roman" w:cs="Times New Roman"/>
          <w:sz w:val="24"/>
          <w:szCs w:val="24"/>
        </w:rPr>
        <w:footnoteReference w:id="3"/>
      </w:r>
      <w:r w:rsidR="00521246">
        <w:rPr>
          <w:rFonts w:ascii="Times New Roman" w:hAnsi="Times New Roman" w:cs="Times New Roman"/>
          <w:sz w:val="24"/>
          <w:szCs w:val="24"/>
        </w:rPr>
        <w:t xml:space="preserve"> </w:t>
      </w:r>
      <w:r w:rsidR="00217632">
        <w:rPr>
          <w:rFonts w:ascii="Times New Roman" w:hAnsi="Times New Roman" w:cs="Times New Roman"/>
          <w:sz w:val="24"/>
          <w:szCs w:val="24"/>
        </w:rPr>
        <w:t xml:space="preserve">CGMs and insulin pump therapy are the current standard of care for this population, with </w:t>
      </w:r>
      <w:r w:rsidR="001F0C91">
        <w:rPr>
          <w:rFonts w:ascii="Times New Roman" w:hAnsi="Times New Roman" w:cs="Times New Roman"/>
          <w:sz w:val="24"/>
          <w:szCs w:val="24"/>
        </w:rPr>
        <w:t xml:space="preserve">a voluminous, </w:t>
      </w:r>
      <w:r w:rsidR="00217632">
        <w:rPr>
          <w:rFonts w:ascii="Times New Roman" w:hAnsi="Times New Roman" w:cs="Times New Roman"/>
          <w:sz w:val="24"/>
          <w:szCs w:val="24"/>
        </w:rPr>
        <w:t xml:space="preserve">significant </w:t>
      </w:r>
      <w:r w:rsidR="001F0C91">
        <w:rPr>
          <w:rFonts w:ascii="Times New Roman" w:hAnsi="Times New Roman" w:cs="Times New Roman"/>
          <w:sz w:val="24"/>
          <w:szCs w:val="24"/>
        </w:rPr>
        <w:t xml:space="preserve">body of </w:t>
      </w:r>
      <w:r w:rsidR="00217632">
        <w:rPr>
          <w:rFonts w:ascii="Times New Roman" w:hAnsi="Times New Roman" w:cs="Times New Roman"/>
          <w:sz w:val="24"/>
          <w:szCs w:val="24"/>
        </w:rPr>
        <w:t xml:space="preserve">clinical evidence justifying use of these </w:t>
      </w:r>
      <w:r w:rsidR="00217632">
        <w:rPr>
          <w:rFonts w:ascii="Times New Roman" w:hAnsi="Times New Roman" w:cs="Times New Roman"/>
          <w:sz w:val="24"/>
          <w:szCs w:val="24"/>
        </w:rPr>
        <w:lastRenderedPageBreak/>
        <w:t>technologies among individuals</w:t>
      </w:r>
      <w:r w:rsidR="00402B27">
        <w:rPr>
          <w:rFonts w:ascii="Times New Roman" w:hAnsi="Times New Roman" w:cs="Times New Roman"/>
          <w:sz w:val="24"/>
          <w:szCs w:val="24"/>
        </w:rPr>
        <w:t xml:space="preserve"> across the age spectrum</w:t>
      </w:r>
      <w:r w:rsidR="00217632">
        <w:rPr>
          <w:rFonts w:ascii="Times New Roman" w:hAnsi="Times New Roman" w:cs="Times New Roman"/>
          <w:sz w:val="24"/>
          <w:szCs w:val="24"/>
        </w:rPr>
        <w:t xml:space="preserve"> with type 1 and insulin-requiring type 2 diabetes. </w:t>
      </w:r>
    </w:p>
    <w:p w14:paraId="38A4C98D" w14:textId="77777777" w:rsidR="00864C3B" w:rsidRDefault="00864C3B" w:rsidP="00AE1DE8">
      <w:pPr>
        <w:pStyle w:val="NoSpacing"/>
        <w:jc w:val="both"/>
        <w:rPr>
          <w:rFonts w:ascii="Times New Roman" w:hAnsi="Times New Roman" w:cs="Times New Roman"/>
          <w:sz w:val="24"/>
          <w:szCs w:val="24"/>
        </w:rPr>
      </w:pPr>
    </w:p>
    <w:p w14:paraId="63B0E9B8" w14:textId="3B074482" w:rsidR="00A92EFE" w:rsidRDefault="00217632" w:rsidP="00AE1DE8">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This is important context as, when considering studies of new diabetes technologies, the control </w:t>
      </w:r>
      <w:r w:rsidR="00864C3B">
        <w:rPr>
          <w:rFonts w:ascii="Times New Roman" w:hAnsi="Times New Roman" w:cs="Times New Roman"/>
          <w:sz w:val="24"/>
          <w:szCs w:val="24"/>
        </w:rPr>
        <w:t>group</w:t>
      </w:r>
      <w:r>
        <w:rPr>
          <w:rFonts w:ascii="Times New Roman" w:hAnsi="Times New Roman" w:cs="Times New Roman"/>
          <w:sz w:val="24"/>
          <w:szCs w:val="24"/>
        </w:rPr>
        <w:t xml:space="preserve"> is typically utilizing some existing diabetes technology. </w:t>
      </w:r>
      <w:r w:rsidR="006E7C2D">
        <w:rPr>
          <w:rFonts w:ascii="Times New Roman" w:hAnsi="Times New Roman" w:cs="Times New Roman"/>
          <w:sz w:val="24"/>
          <w:szCs w:val="24"/>
        </w:rPr>
        <w:t>When developing clinical studies, it would not only be unethical to limit or restrict participant access to less than the standard of care, but also highly unfeasible to identify and include a statistically meaningful sample size of individuals not using any diabetes technology</w:t>
      </w:r>
      <w:r w:rsidR="001F0C91">
        <w:rPr>
          <w:rFonts w:ascii="Times New Roman" w:hAnsi="Times New Roman" w:cs="Times New Roman"/>
          <w:sz w:val="24"/>
          <w:szCs w:val="24"/>
        </w:rPr>
        <w:t xml:space="preserve"> since </w:t>
      </w:r>
      <w:proofErr w:type="gramStart"/>
      <w:r w:rsidR="001F0C91">
        <w:rPr>
          <w:rFonts w:ascii="Times New Roman" w:hAnsi="Times New Roman" w:cs="Times New Roman"/>
          <w:sz w:val="24"/>
          <w:szCs w:val="24"/>
        </w:rPr>
        <w:t>the majority of</w:t>
      </w:r>
      <w:proofErr w:type="gramEnd"/>
      <w:r w:rsidR="001F0C91">
        <w:rPr>
          <w:rFonts w:ascii="Times New Roman" w:hAnsi="Times New Roman" w:cs="Times New Roman"/>
          <w:sz w:val="24"/>
          <w:szCs w:val="24"/>
        </w:rPr>
        <w:t xml:space="preserve"> people with type 1 or insulin-requiring type 2 diabetes are already using </w:t>
      </w:r>
      <w:r w:rsidR="00402B27">
        <w:rPr>
          <w:rFonts w:ascii="Times New Roman" w:hAnsi="Times New Roman" w:cs="Times New Roman"/>
          <w:sz w:val="24"/>
          <w:szCs w:val="24"/>
        </w:rPr>
        <w:t xml:space="preserve">current technologies. </w:t>
      </w:r>
    </w:p>
    <w:p w14:paraId="6CE02852" w14:textId="77777777" w:rsidR="00A92EFE" w:rsidRDefault="00A92EFE" w:rsidP="00AE1DE8">
      <w:pPr>
        <w:pStyle w:val="NoSpacing"/>
        <w:jc w:val="both"/>
        <w:rPr>
          <w:rFonts w:ascii="Times New Roman" w:hAnsi="Times New Roman" w:cs="Times New Roman"/>
          <w:sz w:val="24"/>
          <w:szCs w:val="24"/>
        </w:rPr>
      </w:pPr>
    </w:p>
    <w:p w14:paraId="098DCA30" w14:textId="2CA775D1" w:rsidR="00BE76D0" w:rsidRDefault="00024EB6" w:rsidP="00AE1DE8">
      <w:pPr>
        <w:pStyle w:val="NoSpacing"/>
        <w:jc w:val="both"/>
        <w:rPr>
          <w:rFonts w:ascii="Times New Roman" w:hAnsi="Times New Roman" w:cs="Times New Roman"/>
          <w:sz w:val="24"/>
          <w:szCs w:val="24"/>
        </w:rPr>
      </w:pPr>
      <w:r>
        <w:rPr>
          <w:rFonts w:ascii="Times New Roman" w:hAnsi="Times New Roman" w:cs="Times New Roman"/>
          <w:sz w:val="24"/>
          <w:szCs w:val="24"/>
        </w:rPr>
        <w:t xml:space="preserve">Additionally, </w:t>
      </w:r>
      <w:r w:rsidR="004224EA">
        <w:rPr>
          <w:rFonts w:ascii="Times New Roman" w:hAnsi="Times New Roman" w:cs="Times New Roman"/>
          <w:sz w:val="24"/>
          <w:szCs w:val="24"/>
        </w:rPr>
        <w:t>we note that diabetes</w:t>
      </w:r>
      <w:r w:rsidR="001B38DF">
        <w:rPr>
          <w:rFonts w:ascii="Times New Roman" w:hAnsi="Times New Roman" w:cs="Times New Roman"/>
          <w:sz w:val="24"/>
          <w:szCs w:val="24"/>
        </w:rPr>
        <w:t xml:space="preserve"> affects </w:t>
      </w:r>
      <w:r w:rsidR="00A827E0">
        <w:rPr>
          <w:rFonts w:ascii="Times New Roman" w:hAnsi="Times New Roman" w:cs="Times New Roman"/>
          <w:sz w:val="24"/>
          <w:szCs w:val="24"/>
        </w:rPr>
        <w:t xml:space="preserve">individuals </w:t>
      </w:r>
      <w:r w:rsidR="001B38DF">
        <w:rPr>
          <w:rFonts w:ascii="Times New Roman" w:hAnsi="Times New Roman" w:cs="Times New Roman"/>
          <w:sz w:val="24"/>
          <w:szCs w:val="24"/>
        </w:rPr>
        <w:t>differently</w:t>
      </w:r>
      <w:r w:rsidR="00A827E0">
        <w:rPr>
          <w:rFonts w:ascii="Times New Roman" w:hAnsi="Times New Roman" w:cs="Times New Roman"/>
          <w:sz w:val="24"/>
          <w:szCs w:val="24"/>
        </w:rPr>
        <w:t xml:space="preserve"> and </w:t>
      </w:r>
      <w:r w:rsidR="001B38DF">
        <w:rPr>
          <w:rFonts w:ascii="Times New Roman" w:hAnsi="Times New Roman" w:cs="Times New Roman"/>
          <w:sz w:val="24"/>
          <w:szCs w:val="24"/>
        </w:rPr>
        <w:t xml:space="preserve">the evaluation of </w:t>
      </w:r>
      <w:r w:rsidR="000D17FA">
        <w:rPr>
          <w:rFonts w:ascii="Times New Roman" w:hAnsi="Times New Roman" w:cs="Times New Roman"/>
          <w:sz w:val="24"/>
          <w:szCs w:val="24"/>
        </w:rPr>
        <w:t xml:space="preserve">clinical </w:t>
      </w:r>
      <w:r w:rsidR="001B1B56">
        <w:rPr>
          <w:rFonts w:ascii="Times New Roman" w:hAnsi="Times New Roman" w:cs="Times New Roman"/>
          <w:sz w:val="24"/>
          <w:szCs w:val="24"/>
        </w:rPr>
        <w:t>endpoint</w:t>
      </w:r>
      <w:r w:rsidR="000D17FA">
        <w:rPr>
          <w:rFonts w:ascii="Times New Roman" w:hAnsi="Times New Roman" w:cs="Times New Roman"/>
          <w:sz w:val="24"/>
          <w:szCs w:val="24"/>
        </w:rPr>
        <w:t xml:space="preserve">s </w:t>
      </w:r>
      <w:r w:rsidR="001B38DF">
        <w:rPr>
          <w:rFonts w:ascii="Times New Roman" w:hAnsi="Times New Roman" w:cs="Times New Roman"/>
          <w:sz w:val="24"/>
          <w:szCs w:val="24"/>
        </w:rPr>
        <w:t xml:space="preserve">must be comprehensive and flexible enough to </w:t>
      </w:r>
      <w:r w:rsidR="008813E6">
        <w:rPr>
          <w:rFonts w:ascii="Times New Roman" w:hAnsi="Times New Roman" w:cs="Times New Roman"/>
          <w:sz w:val="24"/>
          <w:szCs w:val="24"/>
        </w:rPr>
        <w:t xml:space="preserve">meet all </w:t>
      </w:r>
      <w:r w:rsidR="001B38DF">
        <w:rPr>
          <w:rFonts w:ascii="Times New Roman" w:hAnsi="Times New Roman" w:cs="Times New Roman"/>
          <w:sz w:val="24"/>
          <w:szCs w:val="24"/>
        </w:rPr>
        <w:t>patients</w:t>
      </w:r>
      <w:r w:rsidR="008813E6">
        <w:rPr>
          <w:rFonts w:ascii="Times New Roman" w:hAnsi="Times New Roman" w:cs="Times New Roman"/>
          <w:sz w:val="24"/>
          <w:szCs w:val="24"/>
        </w:rPr>
        <w:t>’</w:t>
      </w:r>
      <w:r w:rsidR="001B38DF">
        <w:rPr>
          <w:rFonts w:ascii="Times New Roman" w:hAnsi="Times New Roman" w:cs="Times New Roman"/>
          <w:sz w:val="24"/>
          <w:szCs w:val="24"/>
        </w:rPr>
        <w:t xml:space="preserve"> clinical needs. </w:t>
      </w:r>
      <w:r w:rsidR="00402B27">
        <w:rPr>
          <w:rFonts w:ascii="Times New Roman" w:hAnsi="Times New Roman" w:cs="Times New Roman"/>
          <w:sz w:val="24"/>
          <w:szCs w:val="24"/>
        </w:rPr>
        <w:t>Using</w:t>
      </w:r>
      <w:r w:rsidR="001B38DF">
        <w:rPr>
          <w:rFonts w:ascii="Times New Roman" w:hAnsi="Times New Roman" w:cs="Times New Roman"/>
          <w:sz w:val="24"/>
          <w:szCs w:val="24"/>
        </w:rPr>
        <w:t xml:space="preserve"> concrete and specific measures</w:t>
      </w:r>
      <w:r w:rsidR="000D17FA">
        <w:rPr>
          <w:rFonts w:ascii="Times New Roman" w:hAnsi="Times New Roman" w:cs="Times New Roman"/>
          <w:sz w:val="24"/>
          <w:szCs w:val="24"/>
        </w:rPr>
        <w:t xml:space="preserve"> in this context</w:t>
      </w:r>
      <w:r w:rsidR="001B38DF">
        <w:rPr>
          <w:rFonts w:ascii="Times New Roman" w:hAnsi="Times New Roman" w:cs="Times New Roman"/>
          <w:sz w:val="24"/>
          <w:szCs w:val="24"/>
        </w:rPr>
        <w:t xml:space="preserve"> </w:t>
      </w:r>
      <w:r w:rsidR="008813E6">
        <w:rPr>
          <w:rFonts w:ascii="Times New Roman" w:hAnsi="Times New Roman" w:cs="Times New Roman"/>
          <w:sz w:val="24"/>
          <w:szCs w:val="24"/>
        </w:rPr>
        <w:t>do</w:t>
      </w:r>
      <w:r w:rsidR="00402B27">
        <w:rPr>
          <w:rFonts w:ascii="Times New Roman" w:hAnsi="Times New Roman" w:cs="Times New Roman"/>
          <w:sz w:val="24"/>
          <w:szCs w:val="24"/>
        </w:rPr>
        <w:t>es</w:t>
      </w:r>
      <w:r w:rsidR="008813E6">
        <w:rPr>
          <w:rFonts w:ascii="Times New Roman" w:hAnsi="Times New Roman" w:cs="Times New Roman"/>
          <w:sz w:val="24"/>
          <w:szCs w:val="24"/>
        </w:rPr>
        <w:t xml:space="preserve"> not properly capture the highly personalized nature of </w:t>
      </w:r>
      <w:r w:rsidR="007A5F07">
        <w:rPr>
          <w:rFonts w:ascii="Times New Roman" w:hAnsi="Times New Roman" w:cs="Times New Roman"/>
          <w:sz w:val="24"/>
          <w:szCs w:val="24"/>
        </w:rPr>
        <w:t>diabetes and</w:t>
      </w:r>
      <w:r w:rsidR="008813E6">
        <w:rPr>
          <w:rFonts w:ascii="Times New Roman" w:hAnsi="Times New Roman" w:cs="Times New Roman"/>
          <w:sz w:val="24"/>
          <w:szCs w:val="24"/>
        </w:rPr>
        <w:t xml:space="preserve"> could </w:t>
      </w:r>
      <w:r w:rsidR="006D781E">
        <w:rPr>
          <w:rFonts w:ascii="Times New Roman" w:hAnsi="Times New Roman" w:cs="Times New Roman"/>
          <w:sz w:val="24"/>
          <w:szCs w:val="24"/>
        </w:rPr>
        <w:t>omit or</w:t>
      </w:r>
      <w:r w:rsidR="00683955">
        <w:rPr>
          <w:rFonts w:ascii="Times New Roman" w:hAnsi="Times New Roman" w:cs="Times New Roman"/>
          <w:sz w:val="24"/>
          <w:szCs w:val="24"/>
        </w:rPr>
        <w:t xml:space="preserve"> fail to capture patients</w:t>
      </w:r>
      <w:r w:rsidR="00AE1DE8">
        <w:rPr>
          <w:rFonts w:ascii="Times New Roman" w:hAnsi="Times New Roman" w:cs="Times New Roman"/>
          <w:sz w:val="24"/>
          <w:szCs w:val="24"/>
        </w:rPr>
        <w:t>’</w:t>
      </w:r>
      <w:r w:rsidR="00683955">
        <w:rPr>
          <w:rFonts w:ascii="Times New Roman" w:hAnsi="Times New Roman" w:cs="Times New Roman"/>
          <w:sz w:val="24"/>
          <w:szCs w:val="24"/>
        </w:rPr>
        <w:t xml:space="preserve"> specific clinical needs and preferences.</w:t>
      </w:r>
      <w:r w:rsidR="008813E6">
        <w:rPr>
          <w:rFonts w:ascii="Times New Roman" w:hAnsi="Times New Roman" w:cs="Times New Roman"/>
          <w:sz w:val="24"/>
          <w:szCs w:val="24"/>
        </w:rPr>
        <w:t xml:space="preserve"> </w:t>
      </w:r>
      <w:r w:rsidR="00497E86">
        <w:rPr>
          <w:rFonts w:ascii="Times New Roman" w:hAnsi="Times New Roman" w:cs="Times New Roman"/>
          <w:sz w:val="24"/>
          <w:szCs w:val="24"/>
        </w:rPr>
        <w:t xml:space="preserve">Further, we believe that CMS </w:t>
      </w:r>
      <w:r w:rsidR="007F00F0">
        <w:rPr>
          <w:rFonts w:ascii="Times New Roman" w:hAnsi="Times New Roman" w:cs="Times New Roman"/>
          <w:sz w:val="24"/>
          <w:szCs w:val="24"/>
        </w:rPr>
        <w:t xml:space="preserve">is improperly seeking combined </w:t>
      </w:r>
      <w:r w:rsidR="001B1B56">
        <w:rPr>
          <w:rFonts w:ascii="Times New Roman" w:hAnsi="Times New Roman" w:cs="Times New Roman"/>
          <w:sz w:val="24"/>
          <w:szCs w:val="24"/>
        </w:rPr>
        <w:t>endpoint</w:t>
      </w:r>
      <w:r w:rsidR="007F00F0">
        <w:rPr>
          <w:rFonts w:ascii="Times New Roman" w:hAnsi="Times New Roman" w:cs="Times New Roman"/>
          <w:sz w:val="24"/>
          <w:szCs w:val="24"/>
        </w:rPr>
        <w:t>s feedback for all types of diabetes technologies</w:t>
      </w:r>
      <w:r w:rsidR="000D17FA">
        <w:rPr>
          <w:rFonts w:ascii="Times New Roman" w:hAnsi="Times New Roman" w:cs="Times New Roman"/>
          <w:sz w:val="24"/>
          <w:szCs w:val="24"/>
        </w:rPr>
        <w:t xml:space="preserve">. </w:t>
      </w:r>
      <w:r w:rsidR="005A6F6E">
        <w:rPr>
          <w:rFonts w:ascii="Times New Roman" w:hAnsi="Times New Roman" w:cs="Times New Roman"/>
          <w:sz w:val="24"/>
          <w:szCs w:val="24"/>
        </w:rPr>
        <w:t>D</w:t>
      </w:r>
      <w:r w:rsidR="00C21A46">
        <w:rPr>
          <w:rFonts w:ascii="Times New Roman" w:hAnsi="Times New Roman" w:cs="Times New Roman"/>
          <w:sz w:val="24"/>
          <w:szCs w:val="24"/>
        </w:rPr>
        <w:t xml:space="preserve">iabetes technologies span different functions and do not necessarily have to be used in conjunction with each other. </w:t>
      </w:r>
      <w:r w:rsidR="00952305">
        <w:rPr>
          <w:rFonts w:ascii="Times New Roman" w:hAnsi="Times New Roman" w:cs="Times New Roman"/>
          <w:sz w:val="24"/>
          <w:szCs w:val="24"/>
        </w:rPr>
        <w:t xml:space="preserve">Thus, each diabetes technology has </w:t>
      </w:r>
      <w:r w:rsidR="00B062B4">
        <w:rPr>
          <w:rFonts w:ascii="Times New Roman" w:hAnsi="Times New Roman" w:cs="Times New Roman"/>
          <w:sz w:val="24"/>
          <w:szCs w:val="24"/>
        </w:rPr>
        <w:t>its</w:t>
      </w:r>
      <w:r w:rsidR="00952305">
        <w:rPr>
          <w:rFonts w:ascii="Times New Roman" w:hAnsi="Times New Roman" w:cs="Times New Roman"/>
          <w:sz w:val="24"/>
          <w:szCs w:val="24"/>
        </w:rPr>
        <w:t xml:space="preserve"> specific </w:t>
      </w:r>
      <w:r w:rsidR="001B1B56">
        <w:rPr>
          <w:rFonts w:ascii="Times New Roman" w:hAnsi="Times New Roman" w:cs="Times New Roman"/>
          <w:sz w:val="24"/>
          <w:szCs w:val="24"/>
        </w:rPr>
        <w:t>endpoint</w:t>
      </w:r>
      <w:r w:rsidR="00952305">
        <w:rPr>
          <w:rFonts w:ascii="Times New Roman" w:hAnsi="Times New Roman" w:cs="Times New Roman"/>
          <w:sz w:val="24"/>
          <w:szCs w:val="24"/>
        </w:rPr>
        <w:t xml:space="preserve">s and clinical outcomes that </w:t>
      </w:r>
      <w:r w:rsidR="006D781E">
        <w:rPr>
          <w:rFonts w:ascii="Times New Roman" w:hAnsi="Times New Roman" w:cs="Times New Roman"/>
          <w:sz w:val="24"/>
          <w:szCs w:val="24"/>
        </w:rPr>
        <w:t>may not be appropriately captured in</w:t>
      </w:r>
      <w:r w:rsidR="00952305">
        <w:rPr>
          <w:rFonts w:ascii="Times New Roman" w:hAnsi="Times New Roman" w:cs="Times New Roman"/>
          <w:sz w:val="24"/>
          <w:szCs w:val="24"/>
        </w:rPr>
        <w:t xml:space="preserve"> a grouped discussion and recommendation. </w:t>
      </w:r>
    </w:p>
    <w:p w14:paraId="2376B945" w14:textId="77777777" w:rsidR="00864C3B" w:rsidRDefault="00864C3B" w:rsidP="00AE1DE8">
      <w:pPr>
        <w:pStyle w:val="NoSpacing"/>
        <w:jc w:val="both"/>
        <w:rPr>
          <w:rFonts w:ascii="Times New Roman" w:hAnsi="Times New Roman" w:cs="Times New Roman"/>
          <w:sz w:val="24"/>
          <w:szCs w:val="24"/>
        </w:rPr>
      </w:pPr>
    </w:p>
    <w:p w14:paraId="7C64750C" w14:textId="20DBF4B0" w:rsidR="00F26D10" w:rsidRDefault="00CB1336" w:rsidP="00F26D10">
      <w:pPr>
        <w:pStyle w:val="NoSpacing"/>
        <w:jc w:val="both"/>
        <w:rPr>
          <w:rFonts w:ascii="Times New Roman" w:hAnsi="Times New Roman" w:cs="Times New Roman"/>
          <w:sz w:val="24"/>
          <w:szCs w:val="24"/>
        </w:rPr>
      </w:pPr>
      <w:r>
        <w:rPr>
          <w:rFonts w:ascii="Times New Roman" w:hAnsi="Times New Roman" w:cs="Times New Roman"/>
          <w:sz w:val="24"/>
          <w:szCs w:val="24"/>
        </w:rPr>
        <w:t>W</w:t>
      </w:r>
      <w:r w:rsidR="00F26D10">
        <w:rPr>
          <w:rFonts w:ascii="Times New Roman" w:hAnsi="Times New Roman" w:cs="Times New Roman"/>
          <w:sz w:val="24"/>
          <w:szCs w:val="24"/>
        </w:rPr>
        <w:t>e</w:t>
      </w:r>
      <w:r>
        <w:rPr>
          <w:rFonts w:ascii="Times New Roman" w:hAnsi="Times New Roman" w:cs="Times New Roman"/>
          <w:sz w:val="24"/>
          <w:szCs w:val="24"/>
        </w:rPr>
        <w:t xml:space="preserve"> also</w:t>
      </w:r>
      <w:r w:rsidR="00F26D10">
        <w:rPr>
          <w:rFonts w:ascii="Times New Roman" w:hAnsi="Times New Roman" w:cs="Times New Roman"/>
          <w:sz w:val="24"/>
          <w:szCs w:val="24"/>
        </w:rPr>
        <w:t xml:space="preserve"> express our concern that the current roster of MEDCAC members and the roster of the MEDCAC subcommittee at the February 8 meeting does not include an endocrinologist or anyone who </w:t>
      </w:r>
      <w:r w:rsidR="007919FB">
        <w:rPr>
          <w:rFonts w:ascii="Times New Roman" w:hAnsi="Times New Roman" w:cs="Times New Roman"/>
          <w:sz w:val="24"/>
          <w:szCs w:val="24"/>
        </w:rPr>
        <w:t>appears to be</w:t>
      </w:r>
      <w:r w:rsidR="00F26D10">
        <w:rPr>
          <w:rFonts w:ascii="Times New Roman" w:hAnsi="Times New Roman" w:cs="Times New Roman"/>
          <w:sz w:val="24"/>
          <w:szCs w:val="24"/>
        </w:rPr>
        <w:t xml:space="preserve"> familiar with diabetes, the lived experience, or </w:t>
      </w:r>
      <w:r w:rsidR="007919FB">
        <w:rPr>
          <w:rFonts w:ascii="Times New Roman" w:hAnsi="Times New Roman" w:cs="Times New Roman"/>
          <w:sz w:val="24"/>
          <w:szCs w:val="24"/>
        </w:rPr>
        <w:t>clinical studies involving diabetes technology</w:t>
      </w:r>
      <w:r w:rsidR="00F26D10">
        <w:rPr>
          <w:rFonts w:ascii="Times New Roman" w:hAnsi="Times New Roman" w:cs="Times New Roman"/>
          <w:sz w:val="24"/>
          <w:szCs w:val="24"/>
        </w:rPr>
        <w:t xml:space="preserve">. </w:t>
      </w:r>
      <w:r w:rsidR="001F0C91">
        <w:rPr>
          <w:rFonts w:ascii="Times New Roman" w:hAnsi="Times New Roman" w:cs="Times New Roman"/>
          <w:sz w:val="24"/>
          <w:szCs w:val="24"/>
        </w:rPr>
        <w:t>The body that CMS is depending on for advice consequently</w:t>
      </w:r>
      <w:r w:rsidR="007919FB">
        <w:rPr>
          <w:rFonts w:ascii="Times New Roman" w:hAnsi="Times New Roman" w:cs="Times New Roman"/>
          <w:sz w:val="24"/>
          <w:szCs w:val="24"/>
        </w:rPr>
        <w:t xml:space="preserve"> lack</w:t>
      </w:r>
      <w:r w:rsidR="00864C3B">
        <w:rPr>
          <w:rFonts w:ascii="Times New Roman" w:hAnsi="Times New Roman" w:cs="Times New Roman"/>
          <w:sz w:val="24"/>
          <w:szCs w:val="24"/>
        </w:rPr>
        <w:t>s</w:t>
      </w:r>
      <w:r w:rsidR="007919FB">
        <w:rPr>
          <w:rFonts w:ascii="Times New Roman" w:hAnsi="Times New Roman" w:cs="Times New Roman"/>
          <w:sz w:val="24"/>
          <w:szCs w:val="24"/>
        </w:rPr>
        <w:t xml:space="preserve"> a deeper, more personal understanding of the clinical benefit of diabetes technologies and how studies </w:t>
      </w:r>
      <w:r w:rsidR="00864C3B">
        <w:rPr>
          <w:rFonts w:ascii="Times New Roman" w:hAnsi="Times New Roman" w:cs="Times New Roman"/>
          <w:sz w:val="24"/>
          <w:szCs w:val="24"/>
        </w:rPr>
        <w:t>of new technologies should be designed</w:t>
      </w:r>
      <w:r w:rsidR="00402B27">
        <w:rPr>
          <w:rFonts w:ascii="Times New Roman" w:hAnsi="Times New Roman" w:cs="Times New Roman"/>
          <w:sz w:val="24"/>
          <w:szCs w:val="24"/>
        </w:rPr>
        <w:t xml:space="preserve">, including the specific </w:t>
      </w:r>
      <w:r w:rsidR="001B1B56">
        <w:rPr>
          <w:rFonts w:ascii="Times New Roman" w:hAnsi="Times New Roman" w:cs="Times New Roman"/>
          <w:sz w:val="24"/>
          <w:szCs w:val="24"/>
        </w:rPr>
        <w:t>endpoint</w:t>
      </w:r>
      <w:r w:rsidR="00402B27">
        <w:rPr>
          <w:rFonts w:ascii="Times New Roman" w:hAnsi="Times New Roman" w:cs="Times New Roman"/>
          <w:sz w:val="24"/>
          <w:szCs w:val="24"/>
        </w:rPr>
        <w:t>s that will be truly meaningful to the Medicare population</w:t>
      </w:r>
      <w:r w:rsidR="007919FB">
        <w:rPr>
          <w:rFonts w:ascii="Times New Roman" w:hAnsi="Times New Roman" w:cs="Times New Roman"/>
          <w:sz w:val="24"/>
          <w:szCs w:val="24"/>
        </w:rPr>
        <w:t xml:space="preserve">. </w:t>
      </w:r>
    </w:p>
    <w:p w14:paraId="52166063" w14:textId="77777777" w:rsidR="00F26D10" w:rsidRDefault="00F26D10" w:rsidP="00AE1DE8">
      <w:pPr>
        <w:pStyle w:val="NoSpacing"/>
        <w:jc w:val="both"/>
        <w:rPr>
          <w:rFonts w:ascii="Times New Roman" w:hAnsi="Times New Roman" w:cs="Times New Roman"/>
          <w:sz w:val="24"/>
          <w:szCs w:val="24"/>
        </w:rPr>
      </w:pPr>
    </w:p>
    <w:p w14:paraId="6990811A" w14:textId="2854316F" w:rsidR="007919FB" w:rsidRDefault="00261D7E">
      <w:pPr>
        <w:pStyle w:val="NoSpacing"/>
        <w:jc w:val="both"/>
        <w:rPr>
          <w:rFonts w:ascii="Times New Roman" w:hAnsi="Times New Roman" w:cs="Times New Roman"/>
          <w:sz w:val="24"/>
          <w:szCs w:val="24"/>
        </w:rPr>
      </w:pPr>
      <w:r>
        <w:rPr>
          <w:rFonts w:ascii="Times New Roman" w:hAnsi="Times New Roman" w:cs="Times New Roman"/>
          <w:sz w:val="24"/>
          <w:szCs w:val="24"/>
        </w:rPr>
        <w:t>W</w:t>
      </w:r>
      <w:r w:rsidR="00BE76D0">
        <w:rPr>
          <w:rFonts w:ascii="Times New Roman" w:hAnsi="Times New Roman" w:cs="Times New Roman"/>
          <w:sz w:val="24"/>
          <w:szCs w:val="24"/>
        </w:rPr>
        <w:t xml:space="preserve">hile we appreciate CMS’s attention to this matter, we believe a </w:t>
      </w:r>
      <w:r w:rsidR="00952305">
        <w:rPr>
          <w:rFonts w:ascii="Times New Roman" w:hAnsi="Times New Roman" w:cs="Times New Roman"/>
          <w:sz w:val="24"/>
          <w:szCs w:val="24"/>
        </w:rPr>
        <w:t xml:space="preserve">better approach would have been to discuss </w:t>
      </w:r>
      <w:r w:rsidR="001B1B56">
        <w:rPr>
          <w:rFonts w:ascii="Times New Roman" w:hAnsi="Times New Roman" w:cs="Times New Roman"/>
          <w:sz w:val="24"/>
          <w:szCs w:val="24"/>
        </w:rPr>
        <w:t>endpoint</w:t>
      </w:r>
      <w:r w:rsidR="00BE76D0">
        <w:rPr>
          <w:rFonts w:ascii="Times New Roman" w:hAnsi="Times New Roman" w:cs="Times New Roman"/>
          <w:sz w:val="24"/>
          <w:szCs w:val="24"/>
        </w:rPr>
        <w:t>s</w:t>
      </w:r>
      <w:r>
        <w:rPr>
          <w:rFonts w:ascii="Times New Roman" w:hAnsi="Times New Roman" w:cs="Times New Roman"/>
          <w:sz w:val="24"/>
          <w:szCs w:val="24"/>
        </w:rPr>
        <w:t>, and coverage of diabetes technologies generally,</w:t>
      </w:r>
      <w:r w:rsidR="00BE76D0">
        <w:rPr>
          <w:rFonts w:ascii="Times New Roman" w:hAnsi="Times New Roman" w:cs="Times New Roman"/>
          <w:sz w:val="24"/>
          <w:szCs w:val="24"/>
        </w:rPr>
        <w:t xml:space="preserve"> in a more granular fashion that incorporates and acknowledges the differences between </w:t>
      </w:r>
      <w:r w:rsidR="00B062B4">
        <w:rPr>
          <w:rFonts w:ascii="Times New Roman" w:hAnsi="Times New Roman" w:cs="Times New Roman"/>
          <w:sz w:val="24"/>
          <w:szCs w:val="24"/>
        </w:rPr>
        <w:t>the varying types of diabetes technologies</w:t>
      </w:r>
      <w:r w:rsidR="00BE76D0">
        <w:rPr>
          <w:rFonts w:ascii="Times New Roman" w:hAnsi="Times New Roman" w:cs="Times New Roman"/>
          <w:sz w:val="24"/>
          <w:szCs w:val="24"/>
        </w:rPr>
        <w:t xml:space="preserve">, the personalized nature of the disease, and the </w:t>
      </w:r>
      <w:r w:rsidR="00B062B4">
        <w:rPr>
          <w:rFonts w:ascii="Times New Roman" w:hAnsi="Times New Roman" w:cs="Times New Roman"/>
          <w:sz w:val="24"/>
          <w:szCs w:val="24"/>
        </w:rPr>
        <w:t>ability to design and implement meaningful clinical studies</w:t>
      </w:r>
      <w:r w:rsidR="00BE76D0">
        <w:rPr>
          <w:rFonts w:ascii="Times New Roman" w:hAnsi="Times New Roman" w:cs="Times New Roman"/>
          <w:sz w:val="24"/>
          <w:szCs w:val="24"/>
        </w:rPr>
        <w:t xml:space="preserve">. </w:t>
      </w:r>
      <w:r w:rsidR="001F0C91">
        <w:rPr>
          <w:rFonts w:ascii="Times New Roman" w:hAnsi="Times New Roman" w:cs="Times New Roman"/>
          <w:sz w:val="24"/>
          <w:szCs w:val="24"/>
        </w:rPr>
        <w:t xml:space="preserve">CMS should </w:t>
      </w:r>
      <w:r w:rsidR="00314480">
        <w:rPr>
          <w:rFonts w:ascii="Times New Roman" w:hAnsi="Times New Roman" w:cs="Times New Roman"/>
          <w:sz w:val="24"/>
          <w:szCs w:val="24"/>
        </w:rPr>
        <w:t>also ensure that its committee members include multiple participants who are endocrinologists, diabetes patients, or representatives of diabetes technology manufacturers.</w:t>
      </w:r>
    </w:p>
    <w:p w14:paraId="08DC9CD3" w14:textId="77777777" w:rsidR="0083625B" w:rsidRDefault="0083625B" w:rsidP="0083625B">
      <w:pPr>
        <w:pStyle w:val="NoSpacing"/>
        <w:jc w:val="both"/>
        <w:rPr>
          <w:rFonts w:ascii="Times New Roman" w:hAnsi="Times New Roman" w:cs="Times New Roman"/>
          <w:sz w:val="24"/>
          <w:szCs w:val="24"/>
        </w:rPr>
      </w:pPr>
    </w:p>
    <w:p w14:paraId="1278F152" w14:textId="4DA2FC01" w:rsidR="0083625B" w:rsidRDefault="0083625B" w:rsidP="0083625B">
      <w:pPr>
        <w:pStyle w:val="NoSpacing"/>
        <w:jc w:val="both"/>
        <w:rPr>
          <w:rFonts w:ascii="Times New Roman" w:hAnsi="Times New Roman" w:cs="Times New Roman"/>
          <w:sz w:val="24"/>
          <w:szCs w:val="24"/>
        </w:rPr>
      </w:pPr>
      <w:r>
        <w:rPr>
          <w:rFonts w:ascii="Times New Roman" w:hAnsi="Times New Roman" w:cs="Times New Roman"/>
          <w:sz w:val="24"/>
          <w:szCs w:val="24"/>
        </w:rPr>
        <w:t xml:space="preserve">Finally, we note that given the limited timeframe to review and provide feedback, our comments are limited to those </w:t>
      </w:r>
      <w:r w:rsidR="001B1B56">
        <w:rPr>
          <w:rFonts w:ascii="Times New Roman" w:hAnsi="Times New Roman" w:cs="Times New Roman"/>
          <w:sz w:val="24"/>
          <w:szCs w:val="24"/>
        </w:rPr>
        <w:t>endpoint</w:t>
      </w:r>
      <w:r>
        <w:rPr>
          <w:rFonts w:ascii="Times New Roman" w:hAnsi="Times New Roman" w:cs="Times New Roman"/>
          <w:sz w:val="24"/>
          <w:szCs w:val="24"/>
        </w:rPr>
        <w:t xml:space="preserve">s for which we were able to develop and provide consensus recommendations. More time would be appreciated to meaningfully participate and provide feedback on all the identified </w:t>
      </w:r>
      <w:r w:rsidR="001B1B56">
        <w:rPr>
          <w:rFonts w:ascii="Times New Roman" w:hAnsi="Times New Roman" w:cs="Times New Roman"/>
          <w:sz w:val="24"/>
          <w:szCs w:val="24"/>
        </w:rPr>
        <w:t>endpoint</w:t>
      </w:r>
      <w:r>
        <w:rPr>
          <w:rFonts w:ascii="Times New Roman" w:hAnsi="Times New Roman" w:cs="Times New Roman"/>
          <w:sz w:val="24"/>
          <w:szCs w:val="24"/>
        </w:rPr>
        <w:t xml:space="preserve">s. </w:t>
      </w:r>
    </w:p>
    <w:p w14:paraId="714E5062" w14:textId="77777777" w:rsidR="007919FB" w:rsidRDefault="007919FB">
      <w:pPr>
        <w:pStyle w:val="NoSpacing"/>
        <w:jc w:val="both"/>
        <w:rPr>
          <w:rFonts w:ascii="Times New Roman" w:hAnsi="Times New Roman" w:cs="Times New Roman"/>
          <w:sz w:val="24"/>
          <w:szCs w:val="24"/>
        </w:rPr>
      </w:pPr>
    </w:p>
    <w:p w14:paraId="3036527B" w14:textId="315E5CE5" w:rsidR="00BD62AB" w:rsidRDefault="007919FB"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With this </w:t>
      </w:r>
      <w:r w:rsidR="0083625B">
        <w:rPr>
          <w:rFonts w:ascii="Times New Roman" w:hAnsi="Times New Roman" w:cs="Times New Roman"/>
          <w:sz w:val="24"/>
          <w:szCs w:val="24"/>
        </w:rPr>
        <w:t>context</w:t>
      </w:r>
      <w:r>
        <w:rPr>
          <w:rFonts w:ascii="Times New Roman" w:hAnsi="Times New Roman" w:cs="Times New Roman"/>
          <w:sz w:val="24"/>
          <w:szCs w:val="24"/>
        </w:rPr>
        <w:t xml:space="preserve">, we provide </w:t>
      </w:r>
      <w:r w:rsidR="004F1B01">
        <w:rPr>
          <w:rFonts w:ascii="Times New Roman" w:hAnsi="Times New Roman" w:cs="Times New Roman"/>
          <w:sz w:val="24"/>
          <w:szCs w:val="24"/>
        </w:rPr>
        <w:t xml:space="preserve">our recommendations regarding several of the specific surrogate markers and the four domains. More specifically, we provide the feedback as investigators in numerous clinical studies, which increasingly assess the benefit of next generation diabetes technology against the current standard of care. When performing these types of studies, the more important metric truly is whether there is non-inferiority for certain glycemic-related </w:t>
      </w:r>
      <w:r w:rsidR="001B1B56">
        <w:rPr>
          <w:rFonts w:ascii="Times New Roman" w:hAnsi="Times New Roman" w:cs="Times New Roman"/>
          <w:sz w:val="24"/>
          <w:szCs w:val="24"/>
        </w:rPr>
        <w:t>endpoint</w:t>
      </w:r>
      <w:r w:rsidR="004F1B01">
        <w:rPr>
          <w:rFonts w:ascii="Times New Roman" w:hAnsi="Times New Roman" w:cs="Times New Roman"/>
          <w:sz w:val="24"/>
          <w:szCs w:val="24"/>
        </w:rPr>
        <w:t xml:space="preserve">s, </w:t>
      </w:r>
      <w:r w:rsidR="004F1B01">
        <w:rPr>
          <w:rFonts w:ascii="Times New Roman" w:hAnsi="Times New Roman" w:cs="Times New Roman"/>
          <w:sz w:val="24"/>
          <w:szCs w:val="24"/>
        </w:rPr>
        <w:lastRenderedPageBreak/>
        <w:t xml:space="preserve">quality of life/social improvements, and/or the individual’s experience living with type 1 or insulin-requiring type 2 diabetes. In many respects, absolute values or metrics as described in the some of the </w:t>
      </w:r>
      <w:r w:rsidR="001B1B56">
        <w:rPr>
          <w:rFonts w:ascii="Times New Roman" w:hAnsi="Times New Roman" w:cs="Times New Roman"/>
          <w:sz w:val="24"/>
          <w:szCs w:val="24"/>
        </w:rPr>
        <w:t>endpoint</w:t>
      </w:r>
      <w:r w:rsidR="004F1B01">
        <w:rPr>
          <w:rFonts w:ascii="Times New Roman" w:hAnsi="Times New Roman" w:cs="Times New Roman"/>
          <w:sz w:val="24"/>
          <w:szCs w:val="24"/>
        </w:rPr>
        <w:t xml:space="preserve">s would </w:t>
      </w:r>
      <w:r w:rsidR="00594838">
        <w:rPr>
          <w:rFonts w:ascii="Times New Roman" w:hAnsi="Times New Roman" w:cs="Times New Roman"/>
          <w:sz w:val="24"/>
          <w:szCs w:val="24"/>
        </w:rPr>
        <w:t>not reflect of the clinical value of new technology, and therefore we caution against using such outcome metrics inappropriately.</w:t>
      </w:r>
      <w:r w:rsidR="00CB1336">
        <w:rPr>
          <w:rFonts w:ascii="Times New Roman" w:hAnsi="Times New Roman" w:cs="Times New Roman"/>
          <w:sz w:val="24"/>
          <w:szCs w:val="24"/>
        </w:rPr>
        <w:t xml:space="preserve"> </w:t>
      </w:r>
      <w:r w:rsidR="00594838">
        <w:rPr>
          <w:rFonts w:ascii="Times New Roman" w:hAnsi="Times New Roman" w:cs="Times New Roman"/>
          <w:sz w:val="24"/>
          <w:szCs w:val="24"/>
        </w:rPr>
        <w:t xml:space="preserve">We appreciate your consideration of our comments and the opportunity to engage with you in this process. </w:t>
      </w:r>
    </w:p>
    <w:p w14:paraId="5680A06C" w14:textId="77777777" w:rsidR="00EB54E5" w:rsidRDefault="00EB54E5" w:rsidP="00CB1336">
      <w:pPr>
        <w:pStyle w:val="NoSpacing"/>
        <w:jc w:val="both"/>
        <w:rPr>
          <w:rFonts w:ascii="Times New Roman" w:hAnsi="Times New Roman" w:cs="Times New Roman"/>
          <w:sz w:val="24"/>
          <w:szCs w:val="24"/>
        </w:rPr>
      </w:pPr>
    </w:p>
    <w:p w14:paraId="35B8DF81" w14:textId="19F9FE93" w:rsidR="00EB54E5" w:rsidRPr="00EB54E5" w:rsidRDefault="00EB54E5" w:rsidP="00CB1336">
      <w:pPr>
        <w:pStyle w:val="NoSpacing"/>
        <w:jc w:val="both"/>
        <w:rPr>
          <w:rFonts w:ascii="Times New Roman" w:hAnsi="Times New Roman" w:cs="Times New Roman"/>
          <w:b/>
          <w:bCs/>
          <w:sz w:val="24"/>
          <w:szCs w:val="24"/>
        </w:rPr>
      </w:pPr>
      <w:r w:rsidRPr="00EB54E5">
        <w:rPr>
          <w:rFonts w:ascii="Times New Roman" w:hAnsi="Times New Roman" w:cs="Times New Roman"/>
          <w:b/>
          <w:bCs/>
          <w:sz w:val="24"/>
          <w:szCs w:val="24"/>
        </w:rPr>
        <w:t>COMMENTS</w:t>
      </w:r>
    </w:p>
    <w:p w14:paraId="11208261" w14:textId="26A7FCE9" w:rsidR="00EB54E5" w:rsidRDefault="00EB54E5" w:rsidP="00CB1336">
      <w:pPr>
        <w:pStyle w:val="NoSpacing"/>
        <w:jc w:val="both"/>
        <w:rPr>
          <w:rFonts w:ascii="Times New Roman" w:hAnsi="Times New Roman" w:cs="Times New Roman"/>
          <w:sz w:val="24"/>
          <w:szCs w:val="24"/>
        </w:rPr>
      </w:pPr>
    </w:p>
    <w:p w14:paraId="159E3044" w14:textId="76EC56FC" w:rsidR="00EB54E5" w:rsidRPr="00B23510" w:rsidRDefault="00EB54E5" w:rsidP="00CB1336">
      <w:pPr>
        <w:pStyle w:val="NoSpacing"/>
        <w:jc w:val="both"/>
        <w:rPr>
          <w:rFonts w:ascii="Times New Roman" w:hAnsi="Times New Roman" w:cs="Times New Roman"/>
          <w:b/>
          <w:bCs/>
          <w:sz w:val="24"/>
          <w:szCs w:val="24"/>
        </w:rPr>
      </w:pPr>
      <w:r w:rsidRPr="00EB54E5">
        <w:rPr>
          <w:rFonts w:ascii="Times New Roman" w:hAnsi="Times New Roman" w:cs="Times New Roman"/>
          <w:b/>
          <w:bCs/>
          <w:sz w:val="24"/>
          <w:szCs w:val="24"/>
        </w:rPr>
        <w:t>Surrogate Markers</w:t>
      </w:r>
    </w:p>
    <w:p w14:paraId="44A371AC" w14:textId="4D4CB8B6" w:rsidR="00EB54E5" w:rsidRDefault="00EB54E5" w:rsidP="00CB1336">
      <w:pPr>
        <w:pStyle w:val="NoSpacing"/>
        <w:jc w:val="both"/>
        <w:rPr>
          <w:rFonts w:ascii="Times New Roman" w:hAnsi="Times New Roman" w:cs="Times New Roman"/>
          <w:sz w:val="24"/>
          <w:szCs w:val="24"/>
        </w:rPr>
      </w:pPr>
    </w:p>
    <w:p w14:paraId="1357072B" w14:textId="67F1F816" w:rsidR="00EB54E5" w:rsidRDefault="00587150" w:rsidP="00CB1336">
      <w:pPr>
        <w:pStyle w:val="NoSpacing"/>
        <w:jc w:val="both"/>
        <w:rPr>
          <w:rFonts w:ascii="Times New Roman" w:hAnsi="Times New Roman" w:cs="Times New Roman"/>
          <w:sz w:val="24"/>
          <w:szCs w:val="24"/>
        </w:rPr>
      </w:pPr>
      <w:r>
        <w:rPr>
          <w:rFonts w:ascii="Times New Roman" w:hAnsi="Times New Roman" w:cs="Times New Roman"/>
          <w:sz w:val="24"/>
          <w:szCs w:val="24"/>
        </w:rPr>
        <w:t>Table</w:t>
      </w:r>
      <w:r w:rsidR="008239E1">
        <w:rPr>
          <w:rFonts w:ascii="Times New Roman" w:hAnsi="Times New Roman" w:cs="Times New Roman"/>
          <w:sz w:val="24"/>
          <w:szCs w:val="24"/>
        </w:rPr>
        <w:t xml:space="preserve"> 1</w:t>
      </w:r>
      <w:r>
        <w:rPr>
          <w:rFonts w:ascii="Times New Roman" w:hAnsi="Times New Roman" w:cs="Times New Roman"/>
          <w:sz w:val="24"/>
          <w:szCs w:val="24"/>
        </w:rPr>
        <w:t xml:space="preserve"> below shows our rating of the importance of each of these </w:t>
      </w:r>
      <w:r w:rsidR="001B1B56">
        <w:rPr>
          <w:rFonts w:ascii="Times New Roman" w:hAnsi="Times New Roman" w:cs="Times New Roman"/>
          <w:sz w:val="24"/>
          <w:szCs w:val="24"/>
        </w:rPr>
        <w:t>endpoint</w:t>
      </w:r>
      <w:r>
        <w:rPr>
          <w:rFonts w:ascii="Times New Roman" w:hAnsi="Times New Roman" w:cs="Times New Roman"/>
          <w:sz w:val="24"/>
          <w:szCs w:val="24"/>
        </w:rPr>
        <w:t>s.  We have used a scale of 1-5 with 1 meaning the least important and 5 the most important.</w:t>
      </w:r>
      <w:r w:rsidR="006C5B87">
        <w:rPr>
          <w:rFonts w:ascii="Times New Roman" w:hAnsi="Times New Roman" w:cs="Times New Roman"/>
          <w:sz w:val="24"/>
          <w:szCs w:val="24"/>
        </w:rPr>
        <w:t xml:space="preserve"> We have provided such a rating only for those </w:t>
      </w:r>
      <w:r w:rsidR="001B1B56">
        <w:rPr>
          <w:rFonts w:ascii="Times New Roman" w:hAnsi="Times New Roman" w:cs="Times New Roman"/>
          <w:sz w:val="24"/>
          <w:szCs w:val="24"/>
        </w:rPr>
        <w:t>endpoint</w:t>
      </w:r>
      <w:r w:rsidR="006C5B87">
        <w:rPr>
          <w:rFonts w:ascii="Times New Roman" w:hAnsi="Times New Roman" w:cs="Times New Roman"/>
          <w:sz w:val="24"/>
          <w:szCs w:val="24"/>
        </w:rPr>
        <w:t>s listed in the Surrogate Markers domain.</w:t>
      </w:r>
    </w:p>
    <w:p w14:paraId="7BEF47E3" w14:textId="48C73F7B" w:rsidR="00587150" w:rsidRDefault="00587150" w:rsidP="00CB1336">
      <w:pPr>
        <w:pStyle w:val="NoSpacing"/>
        <w:jc w:val="both"/>
        <w:rPr>
          <w:rFonts w:ascii="Times New Roman" w:hAnsi="Times New Roman" w:cs="Times New Roman"/>
          <w:sz w:val="24"/>
          <w:szCs w:val="24"/>
        </w:rPr>
      </w:pPr>
    </w:p>
    <w:p w14:paraId="662518F8" w14:textId="69C4AD80" w:rsidR="00587150" w:rsidRDefault="00587150"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Across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w:t>
      </w:r>
      <w:r w:rsidR="001B1B56">
        <w:rPr>
          <w:rFonts w:ascii="Times New Roman" w:hAnsi="Times New Roman" w:cs="Times New Roman"/>
          <w:sz w:val="24"/>
          <w:szCs w:val="24"/>
        </w:rPr>
        <w:t>endpoint</w:t>
      </w:r>
      <w:r>
        <w:rPr>
          <w:rFonts w:ascii="Times New Roman" w:hAnsi="Times New Roman" w:cs="Times New Roman"/>
          <w:sz w:val="24"/>
          <w:szCs w:val="24"/>
        </w:rPr>
        <w:t>s in the Surrogate Markers domain, we believe that an appropriate duration for</w:t>
      </w:r>
      <w:r w:rsidR="00EF276D">
        <w:rPr>
          <w:rFonts w:ascii="Times New Roman" w:hAnsi="Times New Roman" w:cs="Times New Roman"/>
          <w:sz w:val="24"/>
          <w:szCs w:val="24"/>
        </w:rPr>
        <w:t xml:space="preserve"> </w:t>
      </w:r>
      <w:r>
        <w:rPr>
          <w:rFonts w:ascii="Times New Roman" w:hAnsi="Times New Roman" w:cs="Times New Roman"/>
          <w:sz w:val="24"/>
          <w:szCs w:val="24"/>
        </w:rPr>
        <w:t>clinical trial</w:t>
      </w:r>
      <w:r w:rsidR="00EF276D">
        <w:rPr>
          <w:rFonts w:ascii="Times New Roman" w:hAnsi="Times New Roman" w:cs="Times New Roman"/>
          <w:sz w:val="24"/>
          <w:szCs w:val="24"/>
        </w:rPr>
        <w:t>s</w:t>
      </w:r>
      <w:r>
        <w:rPr>
          <w:rFonts w:ascii="Times New Roman" w:hAnsi="Times New Roman" w:cs="Times New Roman"/>
          <w:sz w:val="24"/>
          <w:szCs w:val="24"/>
        </w:rPr>
        <w:t xml:space="preserve"> </w:t>
      </w:r>
      <w:r w:rsidR="00EF276D">
        <w:rPr>
          <w:rFonts w:ascii="Times New Roman" w:hAnsi="Times New Roman" w:cs="Times New Roman"/>
          <w:sz w:val="24"/>
          <w:szCs w:val="24"/>
        </w:rPr>
        <w:t>of diabetes devices</w:t>
      </w:r>
      <w:r>
        <w:rPr>
          <w:rFonts w:ascii="Times New Roman" w:hAnsi="Times New Roman" w:cs="Times New Roman"/>
          <w:sz w:val="24"/>
          <w:szCs w:val="24"/>
        </w:rPr>
        <w:t xml:space="preserve"> would be three months.  With regard to the </w:t>
      </w:r>
      <w:proofErr w:type="gramStart"/>
      <w:r>
        <w:rPr>
          <w:rFonts w:ascii="Times New Roman" w:hAnsi="Times New Roman" w:cs="Times New Roman"/>
          <w:sz w:val="24"/>
          <w:szCs w:val="24"/>
        </w:rPr>
        <w:t>trials</w:t>
      </w:r>
      <w:proofErr w:type="gramEnd"/>
      <w:r>
        <w:rPr>
          <w:rFonts w:ascii="Times New Roman" w:hAnsi="Times New Roman" w:cs="Times New Roman"/>
          <w:sz w:val="24"/>
          <w:szCs w:val="24"/>
        </w:rPr>
        <w:t xml:space="preserve"> we have led or participated in, three months is typically the point at which a change in average blood glucose is observed, usually in the latter portion of that time period.  We often see a leveling out of the change after that point and, in trials where therapy is withdrawn, a reversion back toward the higher baseline glucose levels.  </w:t>
      </w:r>
    </w:p>
    <w:p w14:paraId="66FCC1DB" w14:textId="3940EBE8" w:rsidR="00587150" w:rsidRDefault="00587150" w:rsidP="00CB1336">
      <w:pPr>
        <w:pStyle w:val="NoSpacing"/>
        <w:jc w:val="both"/>
        <w:rPr>
          <w:rFonts w:ascii="Times New Roman" w:hAnsi="Times New Roman" w:cs="Times New Roman"/>
          <w:sz w:val="24"/>
          <w:szCs w:val="24"/>
        </w:rPr>
      </w:pPr>
    </w:p>
    <w:p w14:paraId="3B783B06" w14:textId="796375A1" w:rsidR="00587150" w:rsidRDefault="00587150" w:rsidP="00CB1336">
      <w:pPr>
        <w:pStyle w:val="NoSpacing"/>
        <w:jc w:val="both"/>
        <w:rPr>
          <w:rFonts w:ascii="Times New Roman" w:hAnsi="Times New Roman" w:cs="Times New Roman"/>
          <w:sz w:val="24"/>
          <w:szCs w:val="24"/>
        </w:rPr>
      </w:pPr>
      <w:r>
        <w:rPr>
          <w:rFonts w:ascii="Times New Roman" w:hAnsi="Times New Roman" w:cs="Times New Roman"/>
          <w:sz w:val="24"/>
          <w:szCs w:val="24"/>
        </w:rPr>
        <w:t>In the table below, we have commented on a minimally</w:t>
      </w:r>
      <w:r w:rsidR="00446171">
        <w:rPr>
          <w:rFonts w:ascii="Times New Roman" w:hAnsi="Times New Roman" w:cs="Times New Roman"/>
          <w:sz w:val="24"/>
          <w:szCs w:val="24"/>
        </w:rPr>
        <w:t>-</w:t>
      </w:r>
      <w:r>
        <w:rPr>
          <w:rFonts w:ascii="Times New Roman" w:hAnsi="Times New Roman" w:cs="Times New Roman"/>
          <w:sz w:val="24"/>
          <w:szCs w:val="24"/>
        </w:rPr>
        <w:t>clinically important difference</w:t>
      </w:r>
      <w:r w:rsidR="00446171">
        <w:rPr>
          <w:rFonts w:ascii="Times New Roman" w:hAnsi="Times New Roman" w:cs="Times New Roman"/>
          <w:sz w:val="24"/>
          <w:szCs w:val="24"/>
        </w:rPr>
        <w:t xml:space="preserve"> (MCID)</w:t>
      </w:r>
      <w:r>
        <w:rPr>
          <w:rFonts w:ascii="Times New Roman" w:hAnsi="Times New Roman" w:cs="Times New Roman"/>
          <w:sz w:val="24"/>
          <w:szCs w:val="24"/>
        </w:rPr>
        <w:t xml:space="preserve"> for these </w:t>
      </w:r>
      <w:r w:rsidR="001B1B56">
        <w:rPr>
          <w:rFonts w:ascii="Times New Roman" w:hAnsi="Times New Roman" w:cs="Times New Roman"/>
          <w:sz w:val="24"/>
          <w:szCs w:val="24"/>
        </w:rPr>
        <w:t>endpoint</w:t>
      </w:r>
      <w:r>
        <w:rPr>
          <w:rFonts w:ascii="Times New Roman" w:hAnsi="Times New Roman" w:cs="Times New Roman"/>
          <w:sz w:val="24"/>
          <w:szCs w:val="24"/>
        </w:rPr>
        <w:t>s.</w:t>
      </w:r>
    </w:p>
    <w:p w14:paraId="66C4F9E4" w14:textId="77777777" w:rsidR="006C5B87" w:rsidRDefault="006C5B87" w:rsidP="00CB1336">
      <w:pPr>
        <w:pStyle w:val="NoSpacing"/>
        <w:jc w:val="both"/>
        <w:rPr>
          <w:rFonts w:ascii="Times New Roman" w:hAnsi="Times New Roman" w:cs="Times New Roman"/>
          <w:sz w:val="24"/>
          <w:szCs w:val="24"/>
        </w:rPr>
      </w:pPr>
    </w:p>
    <w:p w14:paraId="5B300C0B" w14:textId="133BDD9A" w:rsidR="006942B6" w:rsidRPr="00B23510" w:rsidRDefault="006C5B87" w:rsidP="00CB1336">
      <w:pPr>
        <w:pStyle w:val="NoSpacing"/>
        <w:jc w:val="both"/>
        <w:rPr>
          <w:rFonts w:ascii="Times New Roman" w:hAnsi="Times New Roman" w:cs="Times New Roman"/>
          <w:b/>
          <w:bCs/>
          <w:sz w:val="24"/>
          <w:szCs w:val="24"/>
        </w:rPr>
      </w:pPr>
      <w:r w:rsidRPr="006C5B87">
        <w:rPr>
          <w:rFonts w:ascii="Times New Roman" w:hAnsi="Times New Roman" w:cs="Times New Roman"/>
          <w:b/>
          <w:bCs/>
          <w:sz w:val="24"/>
          <w:szCs w:val="24"/>
        </w:rPr>
        <w:t>Health Outcomes</w:t>
      </w:r>
    </w:p>
    <w:p w14:paraId="238EA373" w14:textId="7D1EB0D0" w:rsidR="006C5B87" w:rsidRDefault="006C5B87" w:rsidP="00CB1336">
      <w:pPr>
        <w:pStyle w:val="NoSpacing"/>
        <w:jc w:val="both"/>
        <w:rPr>
          <w:rFonts w:ascii="Times New Roman" w:hAnsi="Times New Roman" w:cs="Times New Roman"/>
          <w:sz w:val="24"/>
          <w:szCs w:val="24"/>
        </w:rPr>
      </w:pPr>
    </w:p>
    <w:p w14:paraId="1D7207D6" w14:textId="79C74CBD" w:rsidR="006C5B87" w:rsidRDefault="006C5B87"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Our comments on the </w:t>
      </w:r>
      <w:r w:rsidR="001B1B56">
        <w:rPr>
          <w:rFonts w:ascii="Times New Roman" w:hAnsi="Times New Roman" w:cs="Times New Roman"/>
          <w:sz w:val="24"/>
          <w:szCs w:val="24"/>
        </w:rPr>
        <w:t>endpoint</w:t>
      </w:r>
      <w:r>
        <w:rPr>
          <w:rFonts w:ascii="Times New Roman" w:hAnsi="Times New Roman" w:cs="Times New Roman"/>
          <w:sz w:val="24"/>
          <w:szCs w:val="24"/>
        </w:rPr>
        <w:t xml:space="preserve">s in this domain are restricted to the appropriate duration of follow up.  The nature of these </w:t>
      </w:r>
      <w:r w:rsidR="001B1B56">
        <w:rPr>
          <w:rFonts w:ascii="Times New Roman" w:hAnsi="Times New Roman" w:cs="Times New Roman"/>
          <w:sz w:val="24"/>
          <w:szCs w:val="24"/>
        </w:rPr>
        <w:t>endpoint</w:t>
      </w:r>
      <w:r>
        <w:rPr>
          <w:rFonts w:ascii="Times New Roman" w:hAnsi="Times New Roman" w:cs="Times New Roman"/>
          <w:sz w:val="24"/>
          <w:szCs w:val="24"/>
        </w:rPr>
        <w:t>s is such that a useful trial to examine the impact of a device on these outcomes would likely last year</w:t>
      </w:r>
      <w:r w:rsidR="00EF276D">
        <w:rPr>
          <w:rFonts w:ascii="Times New Roman" w:hAnsi="Times New Roman" w:cs="Times New Roman"/>
          <w:sz w:val="24"/>
          <w:szCs w:val="24"/>
        </w:rPr>
        <w:t>s</w:t>
      </w:r>
      <w:r>
        <w:rPr>
          <w:rFonts w:ascii="Times New Roman" w:hAnsi="Times New Roman" w:cs="Times New Roman"/>
          <w:sz w:val="24"/>
          <w:szCs w:val="24"/>
        </w:rPr>
        <w:t xml:space="preserve">, potentially decades, making such trials impractical as a routine matter and quite costly.  Further, such trials would raise ethical challenges that might preclude them </w:t>
      </w:r>
      <w:r w:rsidR="00394303">
        <w:rPr>
          <w:rFonts w:ascii="Times New Roman" w:hAnsi="Times New Roman" w:cs="Times New Roman"/>
          <w:sz w:val="24"/>
          <w:szCs w:val="24"/>
        </w:rPr>
        <w:t xml:space="preserve">from </w:t>
      </w:r>
      <w:r>
        <w:rPr>
          <w:rFonts w:ascii="Times New Roman" w:hAnsi="Times New Roman" w:cs="Times New Roman"/>
          <w:sz w:val="24"/>
          <w:szCs w:val="24"/>
        </w:rPr>
        <w:t xml:space="preserve">being done.  </w:t>
      </w:r>
    </w:p>
    <w:p w14:paraId="69822AD0" w14:textId="2AE833A2" w:rsidR="006C5B87" w:rsidRDefault="006C5B87" w:rsidP="00CB1336">
      <w:pPr>
        <w:pStyle w:val="NoSpacing"/>
        <w:jc w:val="both"/>
        <w:rPr>
          <w:rFonts w:ascii="Times New Roman" w:hAnsi="Times New Roman" w:cs="Times New Roman"/>
          <w:sz w:val="24"/>
          <w:szCs w:val="24"/>
        </w:rPr>
      </w:pPr>
    </w:p>
    <w:p w14:paraId="4D87F87D" w14:textId="7BBD9000" w:rsidR="006C5B87" w:rsidRDefault="006C5B87" w:rsidP="00CB1336">
      <w:pPr>
        <w:pStyle w:val="NoSpacing"/>
        <w:jc w:val="both"/>
        <w:rPr>
          <w:rFonts w:ascii="Times New Roman" w:hAnsi="Times New Roman" w:cs="Times New Roman"/>
          <w:sz w:val="24"/>
          <w:szCs w:val="24"/>
        </w:rPr>
      </w:pPr>
      <w:r>
        <w:rPr>
          <w:rFonts w:ascii="Times New Roman" w:hAnsi="Times New Roman" w:cs="Times New Roman"/>
          <w:sz w:val="24"/>
          <w:szCs w:val="24"/>
        </w:rPr>
        <w:t>The Diabetes Control and Complications Trial was a landmark study in diabetes</w:t>
      </w:r>
      <w:r w:rsidR="006942B6">
        <w:rPr>
          <w:rFonts w:ascii="Times New Roman" w:hAnsi="Times New Roman" w:cs="Times New Roman"/>
          <w:sz w:val="24"/>
          <w:szCs w:val="24"/>
        </w:rPr>
        <w:t>, tracking</w:t>
      </w:r>
      <w:r>
        <w:rPr>
          <w:rFonts w:ascii="Times New Roman" w:hAnsi="Times New Roman" w:cs="Times New Roman"/>
          <w:sz w:val="24"/>
          <w:szCs w:val="24"/>
        </w:rPr>
        <w:t xml:space="preserve"> more than 1,400 subjects </w:t>
      </w:r>
      <w:r w:rsidR="00EF276D">
        <w:rPr>
          <w:rFonts w:ascii="Times New Roman" w:hAnsi="Times New Roman" w:cs="Times New Roman"/>
          <w:sz w:val="24"/>
          <w:szCs w:val="24"/>
        </w:rPr>
        <w:t xml:space="preserve">with type 1 diabetes </w:t>
      </w:r>
      <w:r>
        <w:rPr>
          <w:rFonts w:ascii="Times New Roman" w:hAnsi="Times New Roman" w:cs="Times New Roman"/>
          <w:sz w:val="24"/>
          <w:szCs w:val="24"/>
        </w:rPr>
        <w:t>over 6.5 years. These subjects were randomized to an intervention group that sought to normalize glucose levels, while the control group did not have su</w:t>
      </w:r>
      <w:r w:rsidR="008239E1">
        <w:rPr>
          <w:rFonts w:ascii="Times New Roman" w:hAnsi="Times New Roman" w:cs="Times New Roman"/>
          <w:sz w:val="24"/>
          <w:szCs w:val="24"/>
        </w:rPr>
        <w:t>ch interventions.</w:t>
      </w:r>
      <w:r w:rsidR="009F29CE">
        <w:rPr>
          <w:rFonts w:ascii="Times New Roman" w:hAnsi="Times New Roman" w:cs="Times New Roman"/>
          <w:sz w:val="24"/>
          <w:szCs w:val="24"/>
        </w:rPr>
        <w:t xml:space="preserve"> </w:t>
      </w:r>
      <w:r w:rsidR="008239E1">
        <w:rPr>
          <w:rFonts w:ascii="Times New Roman" w:hAnsi="Times New Roman" w:cs="Times New Roman"/>
          <w:sz w:val="24"/>
          <w:szCs w:val="24"/>
        </w:rPr>
        <w:t xml:space="preserve">The study conclusively demonstrated </w:t>
      </w:r>
      <w:r w:rsidR="005708EB">
        <w:rPr>
          <w:rFonts w:ascii="Times New Roman" w:hAnsi="Times New Roman" w:cs="Times New Roman"/>
          <w:sz w:val="24"/>
          <w:szCs w:val="24"/>
        </w:rPr>
        <w:t>that</w:t>
      </w:r>
      <w:r w:rsidR="008239E1">
        <w:rPr>
          <w:rFonts w:ascii="Times New Roman" w:hAnsi="Times New Roman" w:cs="Times New Roman"/>
          <w:sz w:val="24"/>
          <w:szCs w:val="24"/>
        </w:rPr>
        <w:t xml:space="preserve"> good glucose control </w:t>
      </w:r>
      <w:r w:rsidR="005708EB">
        <w:rPr>
          <w:rFonts w:ascii="Times New Roman" w:hAnsi="Times New Roman" w:cs="Times New Roman"/>
          <w:sz w:val="24"/>
          <w:szCs w:val="24"/>
        </w:rPr>
        <w:t xml:space="preserve">directly reduces the rates of several </w:t>
      </w:r>
      <w:r w:rsidR="008239E1">
        <w:rPr>
          <w:rFonts w:ascii="Times New Roman" w:hAnsi="Times New Roman" w:cs="Times New Roman"/>
          <w:sz w:val="24"/>
          <w:szCs w:val="24"/>
        </w:rPr>
        <w:t>significant complications.</w:t>
      </w:r>
      <w:r w:rsidR="008239E1">
        <w:rPr>
          <w:rStyle w:val="FootnoteReference"/>
          <w:rFonts w:ascii="Times New Roman" w:hAnsi="Times New Roman" w:cs="Times New Roman"/>
          <w:sz w:val="24"/>
          <w:szCs w:val="24"/>
        </w:rPr>
        <w:footnoteReference w:id="4"/>
      </w:r>
      <w:r w:rsidR="008239E1" w:rsidRPr="001B143E">
        <w:rPr>
          <w:rFonts w:ascii="Times New Roman" w:hAnsi="Times New Roman" w:cs="Times New Roman"/>
          <w:sz w:val="24"/>
          <w:szCs w:val="24"/>
          <w:vertAlign w:val="superscript"/>
        </w:rPr>
        <w:t xml:space="preserve">, </w:t>
      </w:r>
      <w:r w:rsidR="008239E1">
        <w:rPr>
          <w:rStyle w:val="FootnoteReference"/>
          <w:rFonts w:ascii="Times New Roman" w:hAnsi="Times New Roman" w:cs="Times New Roman"/>
          <w:sz w:val="24"/>
          <w:szCs w:val="24"/>
        </w:rPr>
        <w:footnoteReference w:id="5"/>
      </w:r>
      <w:r w:rsidR="008239E1">
        <w:rPr>
          <w:rFonts w:ascii="Times New Roman" w:hAnsi="Times New Roman" w:cs="Times New Roman"/>
          <w:sz w:val="24"/>
          <w:szCs w:val="24"/>
        </w:rPr>
        <w:t xml:space="preserve"> T</w:t>
      </w:r>
      <w:r w:rsidR="00CE4E87">
        <w:rPr>
          <w:rFonts w:ascii="Times New Roman" w:hAnsi="Times New Roman" w:cs="Times New Roman"/>
          <w:sz w:val="24"/>
          <w:szCs w:val="24"/>
        </w:rPr>
        <w:t>herefore</w:t>
      </w:r>
      <w:r w:rsidR="008239E1">
        <w:rPr>
          <w:rFonts w:ascii="Times New Roman" w:hAnsi="Times New Roman" w:cs="Times New Roman"/>
          <w:sz w:val="24"/>
          <w:szCs w:val="24"/>
        </w:rPr>
        <w:t>, we have the</w:t>
      </w:r>
      <w:r w:rsidR="00CE4E87">
        <w:rPr>
          <w:rFonts w:ascii="Times New Roman" w:hAnsi="Times New Roman" w:cs="Times New Roman"/>
          <w:sz w:val="24"/>
          <w:szCs w:val="24"/>
        </w:rPr>
        <w:t xml:space="preserve"> requisite</w:t>
      </w:r>
      <w:r w:rsidR="008239E1">
        <w:rPr>
          <w:rFonts w:ascii="Times New Roman" w:hAnsi="Times New Roman" w:cs="Times New Roman"/>
          <w:sz w:val="24"/>
          <w:szCs w:val="24"/>
        </w:rPr>
        <w:t xml:space="preserve"> data to</w:t>
      </w:r>
      <w:r w:rsidR="00CE4E87">
        <w:rPr>
          <w:rFonts w:ascii="Times New Roman" w:hAnsi="Times New Roman" w:cs="Times New Roman"/>
          <w:sz w:val="24"/>
          <w:szCs w:val="24"/>
        </w:rPr>
        <w:t xml:space="preserve"> affirm</w:t>
      </w:r>
      <w:r w:rsidR="008239E1">
        <w:rPr>
          <w:rFonts w:ascii="Times New Roman" w:hAnsi="Times New Roman" w:cs="Times New Roman"/>
          <w:sz w:val="24"/>
          <w:szCs w:val="24"/>
        </w:rPr>
        <w:t xml:space="preserve"> that glucose control </w:t>
      </w:r>
      <w:r w:rsidR="00CE4E87">
        <w:rPr>
          <w:rFonts w:ascii="Times New Roman" w:hAnsi="Times New Roman" w:cs="Times New Roman"/>
          <w:sz w:val="24"/>
          <w:szCs w:val="24"/>
        </w:rPr>
        <w:t>stands a</w:t>
      </w:r>
      <w:r w:rsidR="008239E1">
        <w:rPr>
          <w:rFonts w:ascii="Times New Roman" w:hAnsi="Times New Roman" w:cs="Times New Roman"/>
          <w:sz w:val="24"/>
          <w:szCs w:val="24"/>
        </w:rPr>
        <w:t xml:space="preserve">s a </w:t>
      </w:r>
      <w:r w:rsidR="00CE4E87">
        <w:rPr>
          <w:rFonts w:ascii="Times New Roman" w:hAnsi="Times New Roman" w:cs="Times New Roman"/>
          <w:sz w:val="24"/>
          <w:szCs w:val="24"/>
        </w:rPr>
        <w:t>pivotal</w:t>
      </w:r>
      <w:r w:rsidR="008239E1">
        <w:rPr>
          <w:rFonts w:ascii="Times New Roman" w:hAnsi="Times New Roman" w:cs="Times New Roman"/>
          <w:sz w:val="24"/>
          <w:szCs w:val="24"/>
        </w:rPr>
        <w:t xml:space="preserve"> factor in the </w:t>
      </w:r>
      <w:r w:rsidR="001B1B56">
        <w:rPr>
          <w:rFonts w:ascii="Times New Roman" w:hAnsi="Times New Roman" w:cs="Times New Roman"/>
          <w:sz w:val="24"/>
          <w:szCs w:val="24"/>
        </w:rPr>
        <w:t>endpoint</w:t>
      </w:r>
      <w:r w:rsidR="008239E1">
        <w:rPr>
          <w:rFonts w:ascii="Times New Roman" w:hAnsi="Times New Roman" w:cs="Times New Roman"/>
          <w:sz w:val="24"/>
          <w:szCs w:val="24"/>
        </w:rPr>
        <w:t xml:space="preserve">s listed </w:t>
      </w:r>
      <w:r w:rsidR="00CE4E87">
        <w:rPr>
          <w:rFonts w:ascii="Times New Roman" w:hAnsi="Times New Roman" w:cs="Times New Roman"/>
          <w:sz w:val="24"/>
          <w:szCs w:val="24"/>
        </w:rPr>
        <w:t>with</w:t>
      </w:r>
      <w:r w:rsidR="008239E1">
        <w:rPr>
          <w:rFonts w:ascii="Times New Roman" w:hAnsi="Times New Roman" w:cs="Times New Roman"/>
          <w:sz w:val="24"/>
          <w:szCs w:val="24"/>
        </w:rPr>
        <w:t xml:space="preserve">in the Health Outcomes domain.  </w:t>
      </w:r>
      <w:proofErr w:type="gramStart"/>
      <w:r w:rsidR="008239E1">
        <w:rPr>
          <w:rFonts w:ascii="Times New Roman" w:hAnsi="Times New Roman" w:cs="Times New Roman"/>
          <w:sz w:val="24"/>
          <w:szCs w:val="24"/>
        </w:rPr>
        <w:t>As a consequence</w:t>
      </w:r>
      <w:proofErr w:type="gramEnd"/>
      <w:r w:rsidR="008239E1">
        <w:rPr>
          <w:rFonts w:ascii="Times New Roman" w:hAnsi="Times New Roman" w:cs="Times New Roman"/>
          <w:sz w:val="24"/>
          <w:szCs w:val="24"/>
        </w:rPr>
        <w:t xml:space="preserve">, we strongly </w:t>
      </w:r>
      <w:r w:rsidR="00CE4E87">
        <w:rPr>
          <w:rFonts w:ascii="Times New Roman" w:hAnsi="Times New Roman" w:cs="Times New Roman"/>
          <w:sz w:val="24"/>
          <w:szCs w:val="24"/>
        </w:rPr>
        <w:t xml:space="preserve">recommend </w:t>
      </w:r>
      <w:r w:rsidR="008239E1">
        <w:rPr>
          <w:rFonts w:ascii="Times New Roman" w:hAnsi="Times New Roman" w:cs="Times New Roman"/>
          <w:sz w:val="24"/>
          <w:szCs w:val="24"/>
        </w:rPr>
        <w:t>that a device that demonstrates the capacity to assist patients</w:t>
      </w:r>
      <w:r w:rsidR="00CE4E87">
        <w:rPr>
          <w:rFonts w:ascii="Times New Roman" w:hAnsi="Times New Roman" w:cs="Times New Roman"/>
          <w:sz w:val="24"/>
          <w:szCs w:val="24"/>
        </w:rPr>
        <w:t xml:space="preserve"> in moving</w:t>
      </w:r>
      <w:r w:rsidR="00BA376D">
        <w:rPr>
          <w:rFonts w:ascii="Times New Roman" w:hAnsi="Times New Roman" w:cs="Times New Roman"/>
          <w:sz w:val="24"/>
          <w:szCs w:val="24"/>
        </w:rPr>
        <w:t xml:space="preserve"> t</w:t>
      </w:r>
      <w:r w:rsidR="008239E1">
        <w:rPr>
          <w:rFonts w:ascii="Times New Roman" w:hAnsi="Times New Roman" w:cs="Times New Roman"/>
          <w:sz w:val="24"/>
          <w:szCs w:val="24"/>
        </w:rPr>
        <w:t xml:space="preserve">heir glucose toward or into the </w:t>
      </w:r>
      <w:r w:rsidR="00BA376D">
        <w:rPr>
          <w:rFonts w:ascii="Times New Roman" w:hAnsi="Times New Roman" w:cs="Times New Roman"/>
          <w:sz w:val="24"/>
          <w:szCs w:val="24"/>
        </w:rPr>
        <w:t>target</w:t>
      </w:r>
      <w:r w:rsidR="008239E1">
        <w:rPr>
          <w:rFonts w:ascii="Times New Roman" w:hAnsi="Times New Roman" w:cs="Times New Roman"/>
          <w:sz w:val="24"/>
          <w:szCs w:val="24"/>
        </w:rPr>
        <w:t xml:space="preserve"> range demonstrate</w:t>
      </w:r>
      <w:r w:rsidR="00BA376D">
        <w:rPr>
          <w:rFonts w:ascii="Times New Roman" w:hAnsi="Times New Roman" w:cs="Times New Roman"/>
          <w:sz w:val="24"/>
          <w:szCs w:val="24"/>
        </w:rPr>
        <w:t>s</w:t>
      </w:r>
      <w:r w:rsidR="008239E1">
        <w:rPr>
          <w:rFonts w:ascii="Times New Roman" w:hAnsi="Times New Roman" w:cs="Times New Roman"/>
          <w:sz w:val="24"/>
          <w:szCs w:val="24"/>
        </w:rPr>
        <w:t xml:space="preserve"> the capacity to impact the </w:t>
      </w:r>
      <w:r w:rsidR="001B1B56">
        <w:rPr>
          <w:rFonts w:ascii="Times New Roman" w:hAnsi="Times New Roman" w:cs="Times New Roman"/>
          <w:sz w:val="24"/>
          <w:szCs w:val="24"/>
        </w:rPr>
        <w:t>endpoint</w:t>
      </w:r>
      <w:r w:rsidR="008239E1">
        <w:rPr>
          <w:rFonts w:ascii="Times New Roman" w:hAnsi="Times New Roman" w:cs="Times New Roman"/>
          <w:sz w:val="24"/>
          <w:szCs w:val="24"/>
        </w:rPr>
        <w:t>s listed in the Health Outcomes domain.</w:t>
      </w:r>
    </w:p>
    <w:p w14:paraId="0019C27E" w14:textId="77777777" w:rsidR="00497BCC" w:rsidRDefault="00497BCC" w:rsidP="00CB1336">
      <w:pPr>
        <w:pStyle w:val="NoSpacing"/>
        <w:jc w:val="both"/>
        <w:rPr>
          <w:rFonts w:ascii="Times New Roman" w:hAnsi="Times New Roman" w:cs="Times New Roman"/>
          <w:b/>
          <w:bCs/>
          <w:sz w:val="24"/>
          <w:szCs w:val="24"/>
        </w:rPr>
      </w:pPr>
    </w:p>
    <w:p w14:paraId="00EB44C6" w14:textId="3CC8D82B" w:rsidR="008239E1" w:rsidRPr="008239E1" w:rsidRDefault="008239E1" w:rsidP="00CB1336">
      <w:pPr>
        <w:pStyle w:val="NoSpacing"/>
        <w:jc w:val="both"/>
        <w:rPr>
          <w:rFonts w:ascii="Times New Roman" w:hAnsi="Times New Roman" w:cs="Times New Roman"/>
          <w:b/>
          <w:bCs/>
          <w:sz w:val="24"/>
          <w:szCs w:val="24"/>
        </w:rPr>
      </w:pPr>
      <w:r w:rsidRPr="008239E1">
        <w:rPr>
          <w:rFonts w:ascii="Times New Roman" w:hAnsi="Times New Roman" w:cs="Times New Roman"/>
          <w:b/>
          <w:bCs/>
          <w:sz w:val="24"/>
          <w:szCs w:val="24"/>
        </w:rPr>
        <w:t>Quality of Life</w:t>
      </w:r>
    </w:p>
    <w:p w14:paraId="2134209B" w14:textId="67D39CD8" w:rsidR="008239E1" w:rsidRDefault="008239E1" w:rsidP="00CB1336">
      <w:pPr>
        <w:pStyle w:val="NoSpacing"/>
        <w:jc w:val="both"/>
        <w:rPr>
          <w:rFonts w:ascii="Times New Roman" w:hAnsi="Times New Roman" w:cs="Times New Roman"/>
          <w:sz w:val="24"/>
          <w:szCs w:val="24"/>
        </w:rPr>
      </w:pPr>
    </w:p>
    <w:p w14:paraId="3C91BCB9" w14:textId="79EA0845" w:rsidR="008239E1" w:rsidRDefault="008239E1"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We believe that the appropriate duration of follow up for the </w:t>
      </w:r>
      <w:r w:rsidR="001B1B56">
        <w:rPr>
          <w:rFonts w:ascii="Times New Roman" w:hAnsi="Times New Roman" w:cs="Times New Roman"/>
          <w:sz w:val="24"/>
          <w:szCs w:val="24"/>
        </w:rPr>
        <w:t>endpoint</w:t>
      </w:r>
      <w:r>
        <w:rPr>
          <w:rFonts w:ascii="Times New Roman" w:hAnsi="Times New Roman" w:cs="Times New Roman"/>
          <w:sz w:val="24"/>
          <w:szCs w:val="24"/>
        </w:rPr>
        <w:t xml:space="preserve">s in this domain is three months. It is our belief that physiological changes directly impact these </w:t>
      </w:r>
      <w:r w:rsidR="001B1B56">
        <w:rPr>
          <w:rFonts w:ascii="Times New Roman" w:hAnsi="Times New Roman" w:cs="Times New Roman"/>
          <w:sz w:val="24"/>
          <w:szCs w:val="24"/>
        </w:rPr>
        <w:t>endpoint</w:t>
      </w:r>
      <w:r>
        <w:rPr>
          <w:rFonts w:ascii="Times New Roman" w:hAnsi="Times New Roman" w:cs="Times New Roman"/>
          <w:sz w:val="24"/>
          <w:szCs w:val="24"/>
        </w:rPr>
        <w:t xml:space="preserve">s and that devices that permit a person with diabetes to directly observe positive physiological changes consequently improve their scores in these various </w:t>
      </w:r>
      <w:r w:rsidR="001B1B56">
        <w:rPr>
          <w:rFonts w:ascii="Times New Roman" w:hAnsi="Times New Roman" w:cs="Times New Roman"/>
          <w:sz w:val="24"/>
          <w:szCs w:val="24"/>
        </w:rPr>
        <w:t>endpoint</w:t>
      </w:r>
      <w:r>
        <w:rPr>
          <w:rFonts w:ascii="Times New Roman" w:hAnsi="Times New Roman" w:cs="Times New Roman"/>
          <w:sz w:val="24"/>
          <w:szCs w:val="24"/>
        </w:rPr>
        <w:t>s.</w:t>
      </w:r>
      <w:r w:rsidR="00C13DD3">
        <w:rPr>
          <w:rFonts w:ascii="Times New Roman" w:hAnsi="Times New Roman" w:cs="Times New Roman"/>
          <w:sz w:val="24"/>
          <w:szCs w:val="24"/>
        </w:rPr>
        <w:t xml:space="preserve"> </w:t>
      </w:r>
      <w:r>
        <w:rPr>
          <w:rFonts w:ascii="Times New Roman" w:hAnsi="Times New Roman" w:cs="Times New Roman"/>
          <w:sz w:val="24"/>
          <w:szCs w:val="24"/>
        </w:rPr>
        <w:t xml:space="preserve">As noted in our discussion of the </w:t>
      </w:r>
      <w:r w:rsidR="001664F8">
        <w:rPr>
          <w:rFonts w:ascii="Times New Roman" w:hAnsi="Times New Roman" w:cs="Times New Roman"/>
          <w:sz w:val="24"/>
          <w:szCs w:val="24"/>
        </w:rPr>
        <w:t>S</w:t>
      </w:r>
      <w:r>
        <w:rPr>
          <w:rFonts w:ascii="Times New Roman" w:hAnsi="Times New Roman" w:cs="Times New Roman"/>
          <w:sz w:val="24"/>
          <w:szCs w:val="24"/>
        </w:rPr>
        <w:t xml:space="preserve">urrogate </w:t>
      </w:r>
      <w:r w:rsidR="001664F8">
        <w:rPr>
          <w:rFonts w:ascii="Times New Roman" w:hAnsi="Times New Roman" w:cs="Times New Roman"/>
          <w:sz w:val="24"/>
          <w:szCs w:val="24"/>
        </w:rPr>
        <w:t>M</w:t>
      </w:r>
      <w:r>
        <w:rPr>
          <w:rFonts w:ascii="Times New Roman" w:hAnsi="Times New Roman" w:cs="Times New Roman"/>
          <w:sz w:val="24"/>
          <w:szCs w:val="24"/>
        </w:rPr>
        <w:t xml:space="preserve">arkers, a change in blood glucose associated with the use of CGM, insulin pumps or other diabetes </w:t>
      </w:r>
      <w:r w:rsidR="00446171">
        <w:rPr>
          <w:rFonts w:ascii="Times New Roman" w:hAnsi="Times New Roman" w:cs="Times New Roman"/>
          <w:sz w:val="24"/>
          <w:szCs w:val="24"/>
        </w:rPr>
        <w:t xml:space="preserve">technologies </w:t>
      </w:r>
      <w:r>
        <w:rPr>
          <w:rFonts w:ascii="Times New Roman" w:hAnsi="Times New Roman" w:cs="Times New Roman"/>
          <w:sz w:val="24"/>
          <w:szCs w:val="24"/>
        </w:rPr>
        <w:t>can typically be observed within three months.</w:t>
      </w:r>
    </w:p>
    <w:p w14:paraId="65B4A51C" w14:textId="77777777" w:rsidR="008239E1" w:rsidRDefault="008239E1" w:rsidP="00CB1336">
      <w:pPr>
        <w:pStyle w:val="NoSpacing"/>
        <w:jc w:val="both"/>
        <w:rPr>
          <w:rFonts w:ascii="Times New Roman" w:hAnsi="Times New Roman" w:cs="Times New Roman"/>
          <w:sz w:val="24"/>
          <w:szCs w:val="24"/>
        </w:rPr>
      </w:pPr>
    </w:p>
    <w:p w14:paraId="3C34EFB3" w14:textId="7055A6DE" w:rsidR="008239E1" w:rsidRDefault="008239E1"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We are not aware of a set of validated </w:t>
      </w:r>
      <w:r w:rsidR="00446171">
        <w:rPr>
          <w:rFonts w:ascii="Times New Roman" w:hAnsi="Times New Roman" w:cs="Times New Roman"/>
          <w:sz w:val="24"/>
          <w:szCs w:val="24"/>
        </w:rPr>
        <w:t>MCIDs</w:t>
      </w:r>
      <w:r>
        <w:rPr>
          <w:rFonts w:ascii="Times New Roman" w:hAnsi="Times New Roman" w:cs="Times New Roman"/>
          <w:sz w:val="24"/>
          <w:szCs w:val="24"/>
        </w:rPr>
        <w:t xml:space="preserve"> associated with each of the </w:t>
      </w:r>
      <w:r w:rsidR="001B1B56">
        <w:rPr>
          <w:rFonts w:ascii="Times New Roman" w:hAnsi="Times New Roman" w:cs="Times New Roman"/>
          <w:sz w:val="24"/>
          <w:szCs w:val="24"/>
        </w:rPr>
        <w:t>endpoint</w:t>
      </w:r>
      <w:r>
        <w:rPr>
          <w:rFonts w:ascii="Times New Roman" w:hAnsi="Times New Roman" w:cs="Times New Roman"/>
          <w:sz w:val="24"/>
          <w:szCs w:val="24"/>
        </w:rPr>
        <w:t xml:space="preserve">s listed in this domain.  We would suggest that an appropriate MCID would be “no worsening” in the scores generated by these assessment tools.  </w:t>
      </w:r>
    </w:p>
    <w:p w14:paraId="52791BA3" w14:textId="77777777" w:rsidR="008C0ADA" w:rsidRDefault="008C0ADA" w:rsidP="00CB1336">
      <w:pPr>
        <w:pStyle w:val="NoSpacing"/>
        <w:jc w:val="both"/>
        <w:rPr>
          <w:rFonts w:ascii="Times New Roman" w:hAnsi="Times New Roman" w:cs="Times New Roman"/>
          <w:sz w:val="24"/>
          <w:szCs w:val="24"/>
        </w:rPr>
      </w:pPr>
    </w:p>
    <w:p w14:paraId="4871F724" w14:textId="77777777" w:rsidR="008C0ADA" w:rsidRPr="001B143E" w:rsidRDefault="008C0ADA" w:rsidP="00CB1336">
      <w:pPr>
        <w:pStyle w:val="NoSpacing"/>
        <w:jc w:val="both"/>
        <w:rPr>
          <w:rFonts w:ascii="Times New Roman" w:hAnsi="Times New Roman" w:cs="Times New Roman"/>
          <w:b/>
          <w:bCs/>
          <w:sz w:val="24"/>
          <w:szCs w:val="24"/>
        </w:rPr>
      </w:pPr>
      <w:r w:rsidRPr="001B143E">
        <w:rPr>
          <w:rFonts w:ascii="Times New Roman" w:hAnsi="Times New Roman" w:cs="Times New Roman"/>
          <w:b/>
          <w:bCs/>
          <w:sz w:val="24"/>
          <w:szCs w:val="24"/>
        </w:rPr>
        <w:t>Conclusion</w:t>
      </w:r>
    </w:p>
    <w:p w14:paraId="749DF53F" w14:textId="77777777" w:rsidR="008C0ADA" w:rsidRDefault="008C0ADA" w:rsidP="00CB1336">
      <w:pPr>
        <w:pStyle w:val="NoSpacing"/>
        <w:jc w:val="both"/>
        <w:rPr>
          <w:rFonts w:ascii="Times New Roman" w:hAnsi="Times New Roman" w:cs="Times New Roman"/>
          <w:sz w:val="24"/>
          <w:szCs w:val="24"/>
        </w:rPr>
      </w:pPr>
    </w:p>
    <w:p w14:paraId="1E788B31" w14:textId="0B06CAA1" w:rsidR="008C0ADA" w:rsidRDefault="008C0ADA" w:rsidP="00CB1336">
      <w:pPr>
        <w:pStyle w:val="NoSpacing"/>
        <w:jc w:val="both"/>
        <w:rPr>
          <w:rFonts w:ascii="Times New Roman" w:hAnsi="Times New Roman" w:cs="Times New Roman"/>
          <w:sz w:val="24"/>
          <w:szCs w:val="24"/>
        </w:rPr>
      </w:pPr>
      <w:r>
        <w:rPr>
          <w:rFonts w:ascii="Times New Roman" w:hAnsi="Times New Roman" w:cs="Times New Roman"/>
          <w:sz w:val="24"/>
          <w:szCs w:val="24"/>
        </w:rPr>
        <w:t xml:space="preserve">CMS should seek to foster device trials that are both practical and flexible in terms of their outcomes.  The guidance established under this process should permit more rapidly completed studies, rather than requiring very long or impractical trials.  Further, the guidance should not establish fixed </w:t>
      </w:r>
      <w:r w:rsidR="00446171">
        <w:rPr>
          <w:rFonts w:ascii="Times New Roman" w:hAnsi="Times New Roman" w:cs="Times New Roman"/>
          <w:sz w:val="24"/>
          <w:szCs w:val="24"/>
        </w:rPr>
        <w:t xml:space="preserve">thresholds </w:t>
      </w:r>
      <w:r>
        <w:rPr>
          <w:rFonts w:ascii="Times New Roman" w:hAnsi="Times New Roman" w:cs="Times New Roman"/>
          <w:sz w:val="24"/>
          <w:szCs w:val="24"/>
        </w:rPr>
        <w:t>for minimally-clinically significant change that are so high that they do not pertain to individuals who have already achieved moderate success in their efforts</w:t>
      </w:r>
      <w:r w:rsidR="001664F8">
        <w:rPr>
          <w:rFonts w:ascii="Times New Roman" w:hAnsi="Times New Roman" w:cs="Times New Roman"/>
          <w:sz w:val="24"/>
          <w:szCs w:val="24"/>
        </w:rPr>
        <w:t xml:space="preserve"> – including through the current standard of care –</w:t>
      </w:r>
      <w:r>
        <w:rPr>
          <w:rFonts w:ascii="Times New Roman" w:hAnsi="Times New Roman" w:cs="Times New Roman"/>
          <w:sz w:val="24"/>
          <w:szCs w:val="24"/>
        </w:rPr>
        <w:t xml:space="preserve"> and would thus </w:t>
      </w:r>
      <w:r w:rsidR="00446171">
        <w:rPr>
          <w:rFonts w:ascii="Times New Roman" w:hAnsi="Times New Roman" w:cs="Times New Roman"/>
          <w:sz w:val="24"/>
          <w:szCs w:val="24"/>
        </w:rPr>
        <w:t>prevent</w:t>
      </w:r>
      <w:r>
        <w:rPr>
          <w:rFonts w:ascii="Times New Roman" w:hAnsi="Times New Roman" w:cs="Times New Roman"/>
          <w:sz w:val="24"/>
          <w:szCs w:val="24"/>
        </w:rPr>
        <w:t xml:space="preserve"> these individuals from accessing the best tools available to continue and even improve their prior success.</w:t>
      </w:r>
    </w:p>
    <w:p w14:paraId="0E9E30EE" w14:textId="77777777" w:rsidR="008C0ADA" w:rsidRDefault="008C0ADA" w:rsidP="00CB1336">
      <w:pPr>
        <w:pStyle w:val="NoSpacing"/>
        <w:jc w:val="both"/>
        <w:rPr>
          <w:rFonts w:ascii="Times New Roman" w:hAnsi="Times New Roman" w:cs="Times New Roman"/>
          <w:sz w:val="24"/>
          <w:szCs w:val="24"/>
        </w:rPr>
      </w:pPr>
    </w:p>
    <w:p w14:paraId="0AA3CAE2" w14:textId="6EA2065B" w:rsidR="008C0ADA" w:rsidRDefault="008C0ADA" w:rsidP="00CB1336">
      <w:pPr>
        <w:pStyle w:val="NoSpacing"/>
        <w:jc w:val="both"/>
        <w:rPr>
          <w:rFonts w:ascii="Times New Roman" w:hAnsi="Times New Roman" w:cs="Times New Roman"/>
          <w:color w:val="000000"/>
          <w:sz w:val="24"/>
          <w:szCs w:val="24"/>
        </w:rPr>
      </w:pPr>
      <w:bookmarkStart w:id="0" w:name="_Hlk164422727"/>
      <w:r>
        <w:rPr>
          <w:rFonts w:ascii="Times New Roman" w:hAnsi="Times New Roman" w:cs="Times New Roman"/>
          <w:sz w:val="24"/>
          <w:szCs w:val="24"/>
        </w:rPr>
        <w:t>We thank CMS for the opportunity to comment and hope that our input is useful.</w:t>
      </w:r>
      <w:r w:rsidR="007A5F07">
        <w:rPr>
          <w:rFonts w:ascii="Times New Roman" w:hAnsi="Times New Roman" w:cs="Times New Roman"/>
          <w:sz w:val="24"/>
          <w:szCs w:val="24"/>
        </w:rPr>
        <w:t xml:space="preserve"> We would be happy to provide additional studies, sources, or information</w:t>
      </w:r>
      <w:r>
        <w:rPr>
          <w:rFonts w:ascii="Times New Roman" w:hAnsi="Times New Roman" w:cs="Times New Roman"/>
          <w:sz w:val="24"/>
          <w:szCs w:val="24"/>
        </w:rPr>
        <w:t xml:space="preserve"> </w:t>
      </w:r>
      <w:r w:rsidR="007A5F07">
        <w:rPr>
          <w:rFonts w:ascii="Times New Roman" w:hAnsi="Times New Roman" w:cs="Times New Roman"/>
          <w:sz w:val="24"/>
          <w:szCs w:val="24"/>
        </w:rPr>
        <w:t>if helpful</w:t>
      </w:r>
      <w:r w:rsidR="00882875">
        <w:rPr>
          <w:rFonts w:ascii="Times New Roman" w:hAnsi="Times New Roman" w:cs="Times New Roman"/>
          <w:sz w:val="24"/>
          <w:szCs w:val="24"/>
        </w:rPr>
        <w:t>. We also</w:t>
      </w:r>
      <w:r w:rsidR="007A5F07">
        <w:rPr>
          <w:rFonts w:ascii="Times New Roman" w:hAnsi="Times New Roman" w:cs="Times New Roman"/>
          <w:sz w:val="24"/>
          <w:szCs w:val="24"/>
        </w:rPr>
        <w:t xml:space="preserve"> note that</w:t>
      </w:r>
      <w:r w:rsidR="00882875">
        <w:rPr>
          <w:rFonts w:ascii="Times New Roman" w:hAnsi="Times New Roman" w:cs="Times New Roman"/>
          <w:sz w:val="24"/>
          <w:szCs w:val="24"/>
        </w:rPr>
        <w:t xml:space="preserve"> this letter reflects our views, and</w:t>
      </w:r>
      <w:r w:rsidR="007A5F07">
        <w:rPr>
          <w:rFonts w:ascii="Times New Roman" w:hAnsi="Times New Roman" w:cs="Times New Roman"/>
          <w:sz w:val="24"/>
          <w:szCs w:val="24"/>
        </w:rPr>
        <w:t xml:space="preserve"> several </w:t>
      </w:r>
      <w:r w:rsidR="00882875">
        <w:rPr>
          <w:rFonts w:ascii="Times New Roman" w:hAnsi="Times New Roman" w:cs="Times New Roman"/>
          <w:sz w:val="24"/>
          <w:szCs w:val="24"/>
        </w:rPr>
        <w:t>DTAC</w:t>
      </w:r>
      <w:r w:rsidR="007A5F07">
        <w:rPr>
          <w:rFonts w:ascii="Times New Roman" w:hAnsi="Times New Roman" w:cs="Times New Roman"/>
          <w:sz w:val="24"/>
          <w:szCs w:val="24"/>
        </w:rPr>
        <w:t xml:space="preserve"> members intend to submit comment letters </w:t>
      </w:r>
      <w:r w:rsidR="00882875">
        <w:rPr>
          <w:rFonts w:ascii="Times New Roman" w:hAnsi="Times New Roman" w:cs="Times New Roman"/>
          <w:sz w:val="24"/>
          <w:szCs w:val="24"/>
        </w:rPr>
        <w:t>with their respective perspectives</w:t>
      </w:r>
      <w:r w:rsidR="007A5F07">
        <w:rPr>
          <w:rFonts w:ascii="Times New Roman" w:hAnsi="Times New Roman" w:cs="Times New Roman"/>
          <w:sz w:val="24"/>
          <w:szCs w:val="24"/>
        </w:rPr>
        <w:t>.</w:t>
      </w:r>
      <w:r>
        <w:rPr>
          <w:rFonts w:ascii="Times New Roman" w:hAnsi="Times New Roman" w:cs="Times New Roman"/>
          <w:sz w:val="24"/>
          <w:szCs w:val="24"/>
        </w:rPr>
        <w:t xml:space="preserve"> </w:t>
      </w:r>
      <w:bookmarkEnd w:id="0"/>
      <w:r>
        <w:rPr>
          <w:rFonts w:ascii="Times New Roman" w:hAnsi="Times New Roman" w:cs="Times New Roman"/>
          <w:sz w:val="24"/>
          <w:szCs w:val="24"/>
        </w:rPr>
        <w:t xml:space="preserve">Should you have any questions about these comments, please </w:t>
      </w:r>
      <w:r w:rsidRPr="008C0ADA">
        <w:rPr>
          <w:rFonts w:ascii="Times New Roman" w:hAnsi="Times New Roman" w:cs="Times New Roman"/>
          <w:sz w:val="24"/>
          <w:szCs w:val="24"/>
        </w:rPr>
        <w:t xml:space="preserve">reach out to Brian Lee at </w:t>
      </w:r>
      <w:hyperlink r:id="rId13" w:tooltip="Click to send email to Lee, Brian" w:history="1">
        <w:r w:rsidRPr="008C0ADA">
          <w:rPr>
            <w:rStyle w:val="Hyperlink"/>
            <w:rFonts w:ascii="Times New Roman" w:hAnsi="Times New Roman" w:cs="Times New Roman"/>
            <w:color w:val="0000FF"/>
            <w:sz w:val="24"/>
            <w:szCs w:val="24"/>
          </w:rPr>
          <w:t>Brian.Lee@alston.com</w:t>
        </w:r>
      </w:hyperlink>
      <w:r>
        <w:rPr>
          <w:rFonts w:ascii="Times New Roman" w:hAnsi="Times New Roman" w:cs="Times New Roman"/>
          <w:sz w:val="24"/>
          <w:szCs w:val="24"/>
        </w:rPr>
        <w:t xml:space="preserve"> or </w:t>
      </w:r>
      <w:r w:rsidR="00BC4099">
        <w:rPr>
          <w:rFonts w:ascii="Times New Roman" w:hAnsi="Times New Roman" w:cs="Times New Roman"/>
          <w:sz w:val="24"/>
          <w:szCs w:val="24"/>
        </w:rPr>
        <w:t>(</w:t>
      </w:r>
      <w:r w:rsidRPr="008C0ADA">
        <w:rPr>
          <w:rFonts w:ascii="Times New Roman" w:hAnsi="Times New Roman" w:cs="Times New Roman"/>
          <w:color w:val="000000"/>
          <w:sz w:val="24"/>
          <w:szCs w:val="24"/>
        </w:rPr>
        <w:t>202</w:t>
      </w:r>
      <w:r w:rsidR="00BC4099">
        <w:rPr>
          <w:rFonts w:ascii="Times New Roman" w:hAnsi="Times New Roman" w:cs="Times New Roman"/>
          <w:color w:val="000000"/>
          <w:sz w:val="24"/>
          <w:szCs w:val="24"/>
        </w:rPr>
        <w:t>)</w:t>
      </w:r>
      <w:r w:rsidRPr="008C0ADA">
        <w:rPr>
          <w:rFonts w:ascii="Times New Roman" w:hAnsi="Times New Roman" w:cs="Times New Roman"/>
          <w:color w:val="000000"/>
          <w:sz w:val="24"/>
          <w:szCs w:val="24"/>
        </w:rPr>
        <w:t xml:space="preserve"> 239</w:t>
      </w:r>
      <w:r w:rsidR="00BC4099">
        <w:rPr>
          <w:rFonts w:ascii="Times New Roman" w:hAnsi="Times New Roman" w:cs="Times New Roman"/>
          <w:color w:val="000000"/>
          <w:sz w:val="24"/>
          <w:szCs w:val="24"/>
        </w:rPr>
        <w:t>-</w:t>
      </w:r>
      <w:r w:rsidRPr="008C0ADA">
        <w:rPr>
          <w:rFonts w:ascii="Times New Roman" w:hAnsi="Times New Roman" w:cs="Times New Roman"/>
          <w:color w:val="000000"/>
          <w:sz w:val="24"/>
          <w:szCs w:val="24"/>
        </w:rPr>
        <w:t>3818</w:t>
      </w:r>
      <w:r>
        <w:rPr>
          <w:rFonts w:ascii="Times New Roman" w:hAnsi="Times New Roman" w:cs="Times New Roman"/>
          <w:color w:val="000000"/>
          <w:sz w:val="24"/>
          <w:szCs w:val="24"/>
        </w:rPr>
        <w:t>.</w:t>
      </w:r>
    </w:p>
    <w:p w14:paraId="641B063C" w14:textId="77777777" w:rsidR="008C0ADA" w:rsidRDefault="008C0ADA" w:rsidP="00CB1336">
      <w:pPr>
        <w:pStyle w:val="NoSpacing"/>
        <w:jc w:val="both"/>
        <w:rPr>
          <w:rFonts w:ascii="Times New Roman" w:hAnsi="Times New Roman" w:cs="Times New Roman"/>
          <w:color w:val="000000"/>
          <w:sz w:val="24"/>
          <w:szCs w:val="24"/>
        </w:rPr>
      </w:pPr>
    </w:p>
    <w:p w14:paraId="4F88E5BB" w14:textId="48AB063C" w:rsidR="005F00F3" w:rsidRPr="00034A47" w:rsidRDefault="005F00F3" w:rsidP="00034A47">
      <w:pPr>
        <w:pStyle w:val="NoSpacing"/>
        <w:rPr>
          <w:rFonts w:ascii="Times New Roman" w:hAnsi="Times New Roman" w:cs="Times New Roman"/>
          <w:sz w:val="24"/>
          <w:szCs w:val="24"/>
        </w:rPr>
      </w:pPr>
      <w:r w:rsidRPr="00034A47">
        <w:rPr>
          <w:rFonts w:ascii="Times New Roman" w:hAnsi="Times New Roman" w:cs="Times New Roman"/>
          <w:sz w:val="24"/>
          <w:szCs w:val="24"/>
        </w:rPr>
        <w:br w:type="page"/>
      </w:r>
    </w:p>
    <w:p w14:paraId="64B5B8B4" w14:textId="77777777" w:rsidR="005F00F3" w:rsidRDefault="005F00F3" w:rsidP="00034A47">
      <w:pPr>
        <w:rPr>
          <w:b/>
          <w:bCs/>
        </w:rPr>
        <w:sectPr w:rsidR="005F00F3" w:rsidSect="004B719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pPr>
    </w:p>
    <w:tbl>
      <w:tblPr>
        <w:tblStyle w:val="TableGrid"/>
        <w:tblW w:w="14493" w:type="dxa"/>
        <w:tblInd w:w="-815" w:type="dxa"/>
        <w:tblLook w:val="04A0" w:firstRow="1" w:lastRow="0" w:firstColumn="1" w:lastColumn="0" w:noHBand="0" w:noVBand="1"/>
      </w:tblPr>
      <w:tblGrid>
        <w:gridCol w:w="3600"/>
        <w:gridCol w:w="3603"/>
        <w:gridCol w:w="3510"/>
        <w:gridCol w:w="3780"/>
      </w:tblGrid>
      <w:tr w:rsidR="0042514B" w14:paraId="6A6A20B7" w14:textId="77777777" w:rsidTr="001B143E">
        <w:trPr>
          <w:tblHeader/>
        </w:trPr>
        <w:tc>
          <w:tcPr>
            <w:tcW w:w="3600" w:type="dxa"/>
          </w:tcPr>
          <w:p w14:paraId="49B97D20" w14:textId="79CDE7A5" w:rsidR="0042514B" w:rsidRPr="001B143E" w:rsidRDefault="0042514B">
            <w:pPr>
              <w:rPr>
                <w:b/>
                <w:bCs/>
                <w:i/>
                <w:iCs/>
              </w:rPr>
            </w:pPr>
            <w:r w:rsidRPr="001B143E">
              <w:rPr>
                <w:b/>
                <w:bCs/>
                <w:i/>
                <w:iCs/>
              </w:rPr>
              <w:lastRenderedPageBreak/>
              <w:t>Specific Endpoint</w:t>
            </w:r>
          </w:p>
        </w:tc>
        <w:tc>
          <w:tcPr>
            <w:tcW w:w="3603" w:type="dxa"/>
          </w:tcPr>
          <w:p w14:paraId="6C022205" w14:textId="2D59160D" w:rsidR="0042514B" w:rsidRPr="001B143E" w:rsidRDefault="0042514B">
            <w:pPr>
              <w:rPr>
                <w:b/>
                <w:bCs/>
                <w:i/>
                <w:iCs/>
              </w:rPr>
            </w:pPr>
            <w:r w:rsidRPr="001B143E">
              <w:rPr>
                <w:b/>
                <w:bCs/>
                <w:i/>
                <w:iCs/>
              </w:rPr>
              <w:t xml:space="preserve">How appropriate is this endpoint in proving that a given device is reasonable and necessary for the diagnosis or treatment of </w:t>
            </w:r>
            <w:r w:rsidR="00587150" w:rsidRPr="001B143E">
              <w:rPr>
                <w:b/>
                <w:bCs/>
                <w:i/>
                <w:iCs/>
              </w:rPr>
              <w:t xml:space="preserve">type 1 or </w:t>
            </w:r>
            <w:r w:rsidRPr="001B143E">
              <w:rPr>
                <w:b/>
                <w:bCs/>
                <w:i/>
                <w:iCs/>
              </w:rPr>
              <w:t xml:space="preserve">insulin-dependent </w:t>
            </w:r>
            <w:r w:rsidR="00587150" w:rsidRPr="001B143E">
              <w:rPr>
                <w:b/>
                <w:bCs/>
                <w:i/>
                <w:iCs/>
              </w:rPr>
              <w:t xml:space="preserve">type 2 diabetes.  </w:t>
            </w:r>
            <w:r w:rsidR="00436D64" w:rsidRPr="001B143E">
              <w:rPr>
                <w:b/>
                <w:bCs/>
                <w:i/>
                <w:iCs/>
              </w:rPr>
              <w:t>(Scale of 1-5 with 1 being the least appropriate and 5 being the most)</w:t>
            </w:r>
          </w:p>
        </w:tc>
        <w:tc>
          <w:tcPr>
            <w:tcW w:w="3510" w:type="dxa"/>
          </w:tcPr>
          <w:p w14:paraId="28DFFB26" w14:textId="1E073C59" w:rsidR="0042514B" w:rsidRPr="001B143E" w:rsidRDefault="0042514B">
            <w:pPr>
              <w:rPr>
                <w:b/>
                <w:bCs/>
                <w:i/>
                <w:iCs/>
              </w:rPr>
            </w:pPr>
            <w:r w:rsidRPr="001B143E">
              <w:rPr>
                <w:b/>
                <w:bCs/>
                <w:i/>
                <w:iCs/>
              </w:rPr>
              <w:t>Ideal duration of follow-up </w:t>
            </w:r>
            <w:r w:rsidR="00587150" w:rsidRPr="001B143E">
              <w:rPr>
                <w:b/>
                <w:bCs/>
                <w:i/>
                <w:iCs/>
              </w:rPr>
              <w:t xml:space="preserve">required </w:t>
            </w:r>
            <w:r w:rsidRPr="001B143E">
              <w:rPr>
                <w:b/>
                <w:bCs/>
                <w:i/>
                <w:iCs/>
              </w:rPr>
              <w:t xml:space="preserve">in a clinical trial </w:t>
            </w:r>
            <w:r w:rsidR="00587150" w:rsidRPr="001B143E">
              <w:rPr>
                <w:b/>
                <w:bCs/>
                <w:i/>
                <w:iCs/>
              </w:rPr>
              <w:t xml:space="preserve">for the </w:t>
            </w:r>
            <w:r w:rsidRPr="001B143E">
              <w:rPr>
                <w:b/>
                <w:bCs/>
                <w:i/>
                <w:iCs/>
              </w:rPr>
              <w:t>detection of an impact on this endpoint measure?</w:t>
            </w:r>
          </w:p>
        </w:tc>
        <w:tc>
          <w:tcPr>
            <w:tcW w:w="3780" w:type="dxa"/>
          </w:tcPr>
          <w:p w14:paraId="33B2B8D9" w14:textId="481C461D" w:rsidR="0042514B" w:rsidRPr="001B143E" w:rsidRDefault="0042514B">
            <w:pPr>
              <w:rPr>
                <w:b/>
                <w:bCs/>
                <w:i/>
                <w:iCs/>
              </w:rPr>
            </w:pPr>
            <w:r w:rsidRPr="001B143E">
              <w:rPr>
                <w:b/>
                <w:bCs/>
                <w:i/>
                <w:iCs/>
              </w:rPr>
              <w:t>Any conventional or validated thresholds known for defining a Minimally-Clinically Important Difference (MCID) for this endpoint?</w:t>
            </w:r>
          </w:p>
        </w:tc>
      </w:tr>
      <w:tr w:rsidR="0042514B" w14:paraId="59B44EA7" w14:textId="77777777" w:rsidTr="0042514B">
        <w:tc>
          <w:tcPr>
            <w:tcW w:w="3600" w:type="dxa"/>
          </w:tcPr>
          <w:p w14:paraId="0475FC0D" w14:textId="686D0F85" w:rsidR="0042514B" w:rsidRDefault="0042514B">
            <w:r w:rsidRPr="00436D64">
              <w:t>Number of hypoglycemic episodes (&lt;70 mg/dL), especially episodes of Level 2 hypoglycemia (&lt;54 mg/dL)</w:t>
            </w:r>
          </w:p>
        </w:tc>
        <w:tc>
          <w:tcPr>
            <w:tcW w:w="3603" w:type="dxa"/>
          </w:tcPr>
          <w:p w14:paraId="3D5343F5" w14:textId="6E8ADB13" w:rsidR="0042514B" w:rsidRDefault="00446171">
            <w:r>
              <w:t>2</w:t>
            </w:r>
          </w:p>
        </w:tc>
        <w:tc>
          <w:tcPr>
            <w:tcW w:w="3510" w:type="dxa"/>
          </w:tcPr>
          <w:p w14:paraId="3E62E18D" w14:textId="480474FE" w:rsidR="0042514B" w:rsidRDefault="6C4F6BEF">
            <w:r>
              <w:t>3 months</w:t>
            </w:r>
          </w:p>
        </w:tc>
        <w:tc>
          <w:tcPr>
            <w:tcW w:w="3780" w:type="dxa"/>
          </w:tcPr>
          <w:p w14:paraId="7273A600" w14:textId="1CDF5831" w:rsidR="0042514B" w:rsidRDefault="00587150">
            <w:r>
              <w:t xml:space="preserve">Clinicians typically measure hypoglycemia using the percent of “time below range” </w:t>
            </w:r>
            <w:r w:rsidR="007822BC">
              <w:t>data</w:t>
            </w:r>
            <w:r>
              <w:t xml:space="preserve"> generated by a CGM.  Consequently, we do not know of a conventional MCID for the number of hypoglycemic events.</w:t>
            </w:r>
          </w:p>
        </w:tc>
      </w:tr>
      <w:tr w:rsidR="0042514B" w14:paraId="6714F3F3" w14:textId="77777777" w:rsidTr="0042514B">
        <w:tc>
          <w:tcPr>
            <w:tcW w:w="3600" w:type="dxa"/>
          </w:tcPr>
          <w:p w14:paraId="753A31DC" w14:textId="3750CCA3" w:rsidR="0042514B" w:rsidRDefault="0042514B">
            <w:r w:rsidRPr="00436D64">
              <w:t>Percentage of time in level 2 hypoglycemia (&lt;54 mg/dL) </w:t>
            </w:r>
          </w:p>
        </w:tc>
        <w:tc>
          <w:tcPr>
            <w:tcW w:w="3603" w:type="dxa"/>
          </w:tcPr>
          <w:p w14:paraId="5497B2EA" w14:textId="4F09D3F0" w:rsidR="00E500E6" w:rsidRDefault="00D42C54">
            <w:r>
              <w:t>4</w:t>
            </w:r>
          </w:p>
        </w:tc>
        <w:tc>
          <w:tcPr>
            <w:tcW w:w="3510" w:type="dxa"/>
          </w:tcPr>
          <w:p w14:paraId="5AB7ADB9" w14:textId="77C361FA" w:rsidR="0042514B" w:rsidRDefault="00587150">
            <w:r>
              <w:t>3 months</w:t>
            </w:r>
          </w:p>
        </w:tc>
        <w:tc>
          <w:tcPr>
            <w:tcW w:w="3780" w:type="dxa"/>
          </w:tcPr>
          <w:p w14:paraId="53906F91" w14:textId="216E7F42" w:rsidR="0042514B" w:rsidRDefault="00E500E6">
            <w:r>
              <w:t>T</w:t>
            </w:r>
            <w:r w:rsidR="007822BC">
              <w:t xml:space="preserve">he generally accepted standard for hypoglycemia is that patients should experience less than 2% of their time in this range.  For many patients, notably those with type 2 diabetes, there may be </w:t>
            </w:r>
            <w:proofErr w:type="gramStart"/>
            <w:r w:rsidR="007B783D">
              <w:t>minimal</w:t>
            </w:r>
            <w:proofErr w:type="gramEnd"/>
            <w:r w:rsidR="007B783D">
              <w:t xml:space="preserve"> or </w:t>
            </w:r>
            <w:r w:rsidR="007822BC">
              <w:t xml:space="preserve">no hypoglycemia </w:t>
            </w:r>
            <w:r>
              <w:t xml:space="preserve">recorded at baseline </w:t>
            </w:r>
            <w:r w:rsidR="007822BC">
              <w:t>and thus no improvement that could be used as the basis of establishing an MCID.  We would suggest that interventions meant to improve glucose control should not result in hypoglycemia in this range or level 2 or level 3 hypoglycemic events</w:t>
            </w:r>
            <w:r w:rsidR="001664F8">
              <w:t>. T</w:t>
            </w:r>
            <w:r>
              <w:t>herefore</w:t>
            </w:r>
            <w:r w:rsidR="001664F8">
              <w:t>,</w:t>
            </w:r>
            <w:r>
              <w:t xml:space="preserve"> the MCID should be listed as improvement in percent time in level 2 hypoglycemia if the baseline percent time is &gt;4%, otherwise no increase in time below 54 mg/dL would be acceptable</w:t>
            </w:r>
            <w:r w:rsidR="00870080">
              <w:t>.</w:t>
            </w:r>
          </w:p>
        </w:tc>
      </w:tr>
      <w:tr w:rsidR="0042514B" w14:paraId="77C29CAD" w14:textId="77777777" w:rsidTr="0042514B">
        <w:tc>
          <w:tcPr>
            <w:tcW w:w="3600" w:type="dxa"/>
          </w:tcPr>
          <w:p w14:paraId="29DFAF29" w14:textId="4346637F" w:rsidR="0042514B" w:rsidRDefault="0042514B">
            <w:r w:rsidRPr="00436D64">
              <w:t>Impact on A1C (MCID = 0.5% change)*</w:t>
            </w:r>
          </w:p>
        </w:tc>
        <w:tc>
          <w:tcPr>
            <w:tcW w:w="3603" w:type="dxa"/>
          </w:tcPr>
          <w:p w14:paraId="47D995D1" w14:textId="1A97CFFF" w:rsidR="1A6DDB72" w:rsidRDefault="00446171">
            <w:r>
              <w:t>5</w:t>
            </w:r>
          </w:p>
          <w:p w14:paraId="6652F4BD" w14:textId="6BD78EF2" w:rsidR="3531FBE8" w:rsidRDefault="3531FBE8"/>
          <w:p w14:paraId="054F715E" w14:textId="295326C6" w:rsidR="0042514B" w:rsidRDefault="0042514B"/>
        </w:tc>
        <w:tc>
          <w:tcPr>
            <w:tcW w:w="3510" w:type="dxa"/>
          </w:tcPr>
          <w:p w14:paraId="53BCE2D6" w14:textId="0890E4DA" w:rsidR="0042514B" w:rsidRDefault="00587150">
            <w:r>
              <w:lastRenderedPageBreak/>
              <w:t>3 months</w:t>
            </w:r>
          </w:p>
        </w:tc>
        <w:tc>
          <w:tcPr>
            <w:tcW w:w="3780" w:type="dxa"/>
          </w:tcPr>
          <w:p w14:paraId="105714B8" w14:textId="655DC8AF" w:rsidR="0042514B" w:rsidRDefault="007822BC">
            <w:r>
              <w:t xml:space="preserve">We </w:t>
            </w:r>
            <w:r w:rsidR="00870080">
              <w:t>believe</w:t>
            </w:r>
            <w:r>
              <w:t xml:space="preserve"> that a reduction in A1c of 0.</w:t>
            </w:r>
            <w:r w:rsidR="00870080">
              <w:t>3</w:t>
            </w:r>
            <w:r>
              <w:t>% or more is clinically meaningful</w:t>
            </w:r>
            <w:r w:rsidR="00870080">
              <w:t xml:space="preserve">, </w:t>
            </w:r>
            <w:r w:rsidR="00870080">
              <w:lastRenderedPageBreak/>
              <w:t>especially in studies where the control group is already utilizing some diabetes technology</w:t>
            </w:r>
            <w:r>
              <w:t xml:space="preserve">.  It is clear, however, that individuals who have a high A1c typically see larger drops in their average glucose levels when initiating device therapy than do those who initiate such therapy after having established reasonable control of their glucose levels.  We would not want a coverage requirement established that created a perverse incentive for people with moderate control </w:t>
            </w:r>
            <w:r w:rsidR="00870080">
              <w:t>to worsen their condition</w:t>
            </w:r>
            <w:r>
              <w:t xml:space="preserve"> </w:t>
            </w:r>
            <w:proofErr w:type="gramStart"/>
            <w:r>
              <w:t>in order to</w:t>
            </w:r>
            <w:proofErr w:type="gramEnd"/>
            <w:r>
              <w:t xml:space="preserve"> qualify for coverage for the tools that are mos</w:t>
            </w:r>
            <w:r w:rsidR="00F87032">
              <w:t>t</w:t>
            </w:r>
            <w:r>
              <w:t xml:space="preserve"> effective in moving them to the </w:t>
            </w:r>
            <w:r w:rsidR="00F87032">
              <w:t xml:space="preserve">optimal </w:t>
            </w:r>
            <w:r>
              <w:t xml:space="preserve">glucose ranges.  </w:t>
            </w:r>
            <w:r w:rsidR="00F87032">
              <w:t xml:space="preserve">So, while we believe that a reduction of 0.5% in A1c is helpful in evaluating the effectiveness of a device for purposes of FDA clearance, we believe </w:t>
            </w:r>
            <w:r w:rsidR="002D7171">
              <w:t>the appropriate MCID should be a change of 0.3% or more</w:t>
            </w:r>
            <w:r w:rsidR="00F87032">
              <w:t xml:space="preserve">.  We note that several studies have concluded that lower levels of </w:t>
            </w:r>
            <w:r w:rsidR="00F87032">
              <w:lastRenderedPageBreak/>
              <w:t>change in A1c are associated with meaningful impacts on health.</w:t>
            </w:r>
            <w:r w:rsidR="00F87032">
              <w:rPr>
                <w:rStyle w:val="FootnoteReference"/>
              </w:rPr>
              <w:footnoteReference w:id="6"/>
            </w:r>
            <w:r w:rsidR="00F87032" w:rsidRPr="001B143E">
              <w:rPr>
                <w:vertAlign w:val="superscript"/>
              </w:rPr>
              <w:t xml:space="preserve">, </w:t>
            </w:r>
            <w:r w:rsidR="00DB5F0E" w:rsidRPr="002B2EB4">
              <w:rPr>
                <w:rStyle w:val="FootnoteReference"/>
              </w:rPr>
              <w:footnoteReference w:id="7"/>
            </w:r>
            <w:r w:rsidR="00DB5F0E" w:rsidRPr="001B143E">
              <w:rPr>
                <w:vertAlign w:val="superscript"/>
              </w:rPr>
              <w:t>,</w:t>
            </w:r>
            <w:r w:rsidR="00DB5F0E">
              <w:t xml:space="preserve"> </w:t>
            </w:r>
            <w:r w:rsidR="00DB5F0E">
              <w:rPr>
                <w:rStyle w:val="FootnoteReference"/>
              </w:rPr>
              <w:footnoteReference w:id="8"/>
            </w:r>
            <w:r w:rsidR="745BCF7E">
              <w:t xml:space="preserve">  </w:t>
            </w:r>
          </w:p>
        </w:tc>
      </w:tr>
      <w:tr w:rsidR="0042514B" w14:paraId="3F045B46" w14:textId="77777777" w:rsidTr="0042514B">
        <w:tc>
          <w:tcPr>
            <w:tcW w:w="3600" w:type="dxa"/>
          </w:tcPr>
          <w:p w14:paraId="00017DC8" w14:textId="7EF77316" w:rsidR="0042514B" w:rsidRDefault="0042514B">
            <w:r w:rsidRPr="00436D64">
              <w:lastRenderedPageBreak/>
              <w:t>Percentage of time in acceptable glucose range (70-180 mg/dL)</w:t>
            </w:r>
          </w:p>
        </w:tc>
        <w:tc>
          <w:tcPr>
            <w:tcW w:w="3603" w:type="dxa"/>
          </w:tcPr>
          <w:p w14:paraId="5443088B" w14:textId="03A713ED" w:rsidR="0042514B" w:rsidRDefault="00446171">
            <w:r>
              <w:t>5</w:t>
            </w:r>
          </w:p>
        </w:tc>
        <w:tc>
          <w:tcPr>
            <w:tcW w:w="3510" w:type="dxa"/>
          </w:tcPr>
          <w:p w14:paraId="2AABA0C1" w14:textId="39A844F4" w:rsidR="0042514B" w:rsidRDefault="00587150">
            <w:r>
              <w:t>3 months</w:t>
            </w:r>
          </w:p>
        </w:tc>
        <w:tc>
          <w:tcPr>
            <w:tcW w:w="3780" w:type="dxa"/>
          </w:tcPr>
          <w:p w14:paraId="1542CECD" w14:textId="59E8C11B" w:rsidR="0042514B" w:rsidRDefault="00B65606" w:rsidP="3531FBE8">
            <w:pPr>
              <w:spacing w:line="259" w:lineRule="auto"/>
            </w:pPr>
            <w:r>
              <w:t>We believe that a</w:t>
            </w:r>
            <w:r w:rsidR="00AB0649">
              <w:t>n</w:t>
            </w:r>
            <w:r>
              <w:t xml:space="preserve"> </w:t>
            </w:r>
            <w:r w:rsidR="00AB0649">
              <w:t xml:space="preserve">increase </w:t>
            </w:r>
            <w:r>
              <w:t xml:space="preserve"> of </w:t>
            </w:r>
            <w:r w:rsidR="7DF26EFC">
              <w:t>5%</w:t>
            </w:r>
            <w:r>
              <w:t xml:space="preserve"> in time in range is clinically meaningful and would recommend that figure to CMS as an appropriate </w:t>
            </w:r>
            <w:r w:rsidR="008C0ADA">
              <w:t>change</w:t>
            </w:r>
            <w:r>
              <w:t xml:space="preserve"> in this </w:t>
            </w:r>
            <w:r w:rsidR="001B1B56">
              <w:t>endpoint</w:t>
            </w:r>
            <w:r>
              <w:t>.</w:t>
            </w:r>
            <w:r>
              <w:rPr>
                <w:rStyle w:val="FootnoteReference"/>
              </w:rPr>
              <w:footnoteReference w:id="9"/>
            </w:r>
            <w:r w:rsidRPr="001B143E">
              <w:rPr>
                <w:vertAlign w:val="superscript"/>
              </w:rPr>
              <w:t xml:space="preserve">, </w:t>
            </w:r>
            <w:r w:rsidRPr="002B2EB4">
              <w:rPr>
                <w:rStyle w:val="FootnoteReference"/>
              </w:rPr>
              <w:footnoteReference w:id="10"/>
            </w:r>
            <w:r w:rsidRPr="001B143E">
              <w:rPr>
                <w:vertAlign w:val="superscript"/>
              </w:rPr>
              <w:t>,</w:t>
            </w:r>
            <w:r>
              <w:t xml:space="preserve"> </w:t>
            </w:r>
            <w:r>
              <w:rPr>
                <w:rStyle w:val="FootnoteReference"/>
              </w:rPr>
              <w:footnoteReference w:id="11"/>
            </w:r>
            <w:r w:rsidR="00BA1423">
              <w:t xml:space="preserve"> We also note that this is a higher priority endpoint than absolute change in A1c. </w:t>
            </w:r>
          </w:p>
        </w:tc>
      </w:tr>
      <w:tr w:rsidR="0042514B" w14:paraId="71E9D8F5" w14:textId="77777777" w:rsidTr="0042514B">
        <w:tc>
          <w:tcPr>
            <w:tcW w:w="3600" w:type="dxa"/>
          </w:tcPr>
          <w:p w14:paraId="252E6D3D" w14:textId="1133FD07" w:rsidR="0042514B" w:rsidRDefault="0042514B">
            <w:r w:rsidRPr="00436D64">
              <w:t>Percentage of time in hyperglycemia (&gt;180 mg/dL)</w:t>
            </w:r>
          </w:p>
        </w:tc>
        <w:tc>
          <w:tcPr>
            <w:tcW w:w="3603" w:type="dxa"/>
          </w:tcPr>
          <w:p w14:paraId="01218AB7" w14:textId="5A6E7225" w:rsidR="0042514B" w:rsidRDefault="00446171">
            <w:r>
              <w:t>5</w:t>
            </w:r>
          </w:p>
        </w:tc>
        <w:tc>
          <w:tcPr>
            <w:tcW w:w="3510" w:type="dxa"/>
          </w:tcPr>
          <w:p w14:paraId="7ED341E1" w14:textId="076A229B" w:rsidR="0042514B" w:rsidRDefault="00587150">
            <w:r>
              <w:t>3 months</w:t>
            </w:r>
          </w:p>
        </w:tc>
        <w:tc>
          <w:tcPr>
            <w:tcW w:w="3780" w:type="dxa"/>
          </w:tcPr>
          <w:p w14:paraId="099345CF" w14:textId="5145195A" w:rsidR="0042514B" w:rsidRDefault="00B65606">
            <w:r>
              <w:t xml:space="preserve">As noted in the previous row, we believe that a </w:t>
            </w:r>
            <w:r w:rsidR="33048F25">
              <w:t>5%</w:t>
            </w:r>
            <w:r>
              <w:t xml:space="preserve"> </w:t>
            </w:r>
            <w:r w:rsidR="00AB0649">
              <w:t>decrease</w:t>
            </w:r>
            <w:r>
              <w:t xml:space="preserve"> in time in </w:t>
            </w:r>
            <w:r w:rsidR="008C0ADA">
              <w:t>hyperglycemia</w:t>
            </w:r>
            <w:r>
              <w:t xml:space="preserve"> is clinically meaningful</w:t>
            </w:r>
            <w:r w:rsidR="00BA1423">
              <w:t>.</w:t>
            </w:r>
          </w:p>
        </w:tc>
      </w:tr>
      <w:tr w:rsidR="0042514B" w14:paraId="3B92A77C" w14:textId="77777777" w:rsidTr="0042514B">
        <w:tc>
          <w:tcPr>
            <w:tcW w:w="3600" w:type="dxa"/>
          </w:tcPr>
          <w:p w14:paraId="33352923" w14:textId="2AE3E42E" w:rsidR="0042514B" w:rsidRDefault="0042514B">
            <w:r w:rsidRPr="00436D64">
              <w:t>Percentage of time in hypoglycemia (&lt;70 mg/dL) </w:t>
            </w:r>
          </w:p>
        </w:tc>
        <w:tc>
          <w:tcPr>
            <w:tcW w:w="3603" w:type="dxa"/>
          </w:tcPr>
          <w:p w14:paraId="1978008E" w14:textId="20A6A538" w:rsidR="0042514B" w:rsidRDefault="00446171" w:rsidP="008C0ADA">
            <w:r>
              <w:t>2</w:t>
            </w:r>
          </w:p>
        </w:tc>
        <w:tc>
          <w:tcPr>
            <w:tcW w:w="3510" w:type="dxa"/>
          </w:tcPr>
          <w:p w14:paraId="2BB9FD16" w14:textId="0DBE3F3F" w:rsidR="0042514B" w:rsidRDefault="00587150">
            <w:r>
              <w:t>3 months</w:t>
            </w:r>
          </w:p>
        </w:tc>
        <w:tc>
          <w:tcPr>
            <w:tcW w:w="3780" w:type="dxa"/>
          </w:tcPr>
          <w:p w14:paraId="192F02FF" w14:textId="4DDB2B07" w:rsidR="0042514B" w:rsidRDefault="00B65606">
            <w:proofErr w:type="gramStart"/>
            <w:r>
              <w:t>With regard to</w:t>
            </w:r>
            <w:proofErr w:type="gramEnd"/>
            <w:r>
              <w:t xml:space="preserve"> this </w:t>
            </w:r>
            <w:r w:rsidR="001B1B56">
              <w:t>endpoint</w:t>
            </w:r>
            <w:r>
              <w:t xml:space="preserve">, it is difficult to show an improvement because </w:t>
            </w:r>
            <w:r w:rsidR="008C0ADA">
              <w:t xml:space="preserve">the amount of significant hypoglycemia can be quite low in a study population.  This is particularly </w:t>
            </w:r>
            <w:r w:rsidR="008C0ADA">
              <w:lastRenderedPageBreak/>
              <w:t xml:space="preserve">true among people with type 2 diabetes where individuals ordinarily are hyperglycemic, rather than hypoglycemic.  </w:t>
            </w:r>
            <w:r w:rsidR="00347020">
              <w:t xml:space="preserve">A reasonable MCID would be no increase in hypoglycemia, defined as time below 70 mg/dL while A1c and TIR criteria are met.  </w:t>
            </w:r>
          </w:p>
        </w:tc>
      </w:tr>
    </w:tbl>
    <w:p w14:paraId="46853592" w14:textId="7E63D201" w:rsidR="0042514B" w:rsidRDefault="0042514B" w:rsidP="0042514B">
      <w:pPr>
        <w:ind w:left="-630"/>
      </w:pPr>
    </w:p>
    <w:p w14:paraId="7848D8B7" w14:textId="77777777" w:rsidR="00C05A0A" w:rsidRDefault="00C05A0A" w:rsidP="0042514B">
      <w:pPr>
        <w:ind w:left="-810"/>
        <w:sectPr w:rsidR="00C05A0A" w:rsidSect="004B7196">
          <w:headerReference w:type="default" r:id="rId20"/>
          <w:pgSz w:w="15840" w:h="12240" w:orient="landscape"/>
          <w:pgMar w:top="1440" w:right="1440" w:bottom="1440" w:left="1440" w:header="720" w:footer="720" w:gutter="0"/>
          <w:cols w:space="720"/>
          <w:docGrid w:linePitch="360"/>
        </w:sectPr>
      </w:pPr>
    </w:p>
    <w:p w14:paraId="12631099" w14:textId="565D661B" w:rsidR="00705B90" w:rsidRPr="00D22B3C" w:rsidRDefault="00705B90" w:rsidP="00705B90">
      <w:pPr>
        <w:pStyle w:val="NoSpacing"/>
        <w:jc w:val="center"/>
        <w:rPr>
          <w:rFonts w:cstheme="minorHAnsi"/>
          <w:b/>
          <w:bCs/>
          <w:sz w:val="24"/>
          <w:szCs w:val="24"/>
        </w:rPr>
      </w:pPr>
      <w:r w:rsidRPr="00D22B3C">
        <w:rPr>
          <w:rFonts w:cstheme="minorHAnsi"/>
          <w:b/>
          <w:bCs/>
          <w:sz w:val="24"/>
          <w:szCs w:val="24"/>
        </w:rPr>
        <w:lastRenderedPageBreak/>
        <w:t xml:space="preserve">Signatories to this </w:t>
      </w:r>
      <w:r>
        <w:rPr>
          <w:rFonts w:cstheme="minorHAnsi"/>
          <w:b/>
          <w:bCs/>
          <w:sz w:val="24"/>
          <w:szCs w:val="24"/>
        </w:rPr>
        <w:t>Comment Letter</w:t>
      </w:r>
    </w:p>
    <w:p w14:paraId="7D8075B3" w14:textId="77777777" w:rsidR="00705B90" w:rsidRDefault="00705B90" w:rsidP="00705B90">
      <w:pPr>
        <w:pStyle w:val="NoSpacing"/>
        <w:rPr>
          <w:rFonts w:cstheme="minorHAnsi"/>
          <w:sz w:val="24"/>
          <w:szCs w:val="24"/>
        </w:rPr>
      </w:pPr>
    </w:p>
    <w:p w14:paraId="0D6409E0" w14:textId="77777777" w:rsidR="00705B90" w:rsidRDefault="00705B90" w:rsidP="00705B90">
      <w:pPr>
        <w:pStyle w:val="NoSpacing"/>
        <w:rPr>
          <w:rFonts w:cstheme="minorHAnsi"/>
          <w:b/>
          <w:bCs/>
          <w:color w:val="000000" w:themeColor="text1"/>
          <w:sz w:val="24"/>
          <w:szCs w:val="24"/>
        </w:rPr>
      </w:pPr>
    </w:p>
    <w:p w14:paraId="5BE9E58E" w14:textId="77777777" w:rsidR="00BA1423" w:rsidRDefault="00BA1423" w:rsidP="00705B90">
      <w:pPr>
        <w:pStyle w:val="NoSpacing"/>
        <w:rPr>
          <w:rFonts w:cstheme="minorHAnsi"/>
          <w:b/>
          <w:bCs/>
          <w:color w:val="000000" w:themeColor="text1"/>
          <w:sz w:val="24"/>
          <w:szCs w:val="24"/>
        </w:rPr>
        <w:sectPr w:rsidR="00BA1423" w:rsidSect="004B7196">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3EBD" w:rsidRPr="001B1B56" w14:paraId="3194FDFB" w14:textId="29CFEDE8" w:rsidTr="00AE74F0">
        <w:trPr>
          <w:trHeight w:val="20"/>
        </w:trPr>
        <w:tc>
          <w:tcPr>
            <w:tcW w:w="4675" w:type="dxa"/>
            <w:vMerge w:val="restart"/>
          </w:tcPr>
          <w:p w14:paraId="7848E28A" w14:textId="77777777" w:rsidR="00003EBD" w:rsidRPr="001B1B56" w:rsidRDefault="00003EBD" w:rsidP="00003EBD">
            <w:pPr>
              <w:pStyle w:val="NoSpacing"/>
              <w:rPr>
                <w:rFonts w:cstheme="minorHAnsi"/>
                <w:color w:val="000000" w:themeColor="text1"/>
              </w:rPr>
            </w:pPr>
            <w:r w:rsidRPr="001B1B56">
              <w:rPr>
                <w:rFonts w:cstheme="minorHAnsi"/>
                <w:b/>
                <w:bCs/>
                <w:color w:val="000000" w:themeColor="text1"/>
              </w:rPr>
              <w:t>Grazia Aleppo, MD, FACE, FACP</w:t>
            </w:r>
          </w:p>
          <w:p w14:paraId="1F27C258"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Professor of Medicine</w:t>
            </w:r>
          </w:p>
          <w:p w14:paraId="53576756"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Director, Diabetes Education Program</w:t>
            </w:r>
          </w:p>
          <w:p w14:paraId="5B241F03"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Associate Chief for Clinical Affairs</w:t>
            </w:r>
          </w:p>
          <w:p w14:paraId="13C6AEF4"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Division of Endocrinology, Metabolism</w:t>
            </w:r>
          </w:p>
          <w:p w14:paraId="48327997"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and Molecular Medicine</w:t>
            </w:r>
          </w:p>
          <w:p w14:paraId="687D7F99" w14:textId="536F837A" w:rsidR="00003EBD" w:rsidRPr="001B1B56" w:rsidRDefault="00003EBD" w:rsidP="00003EBD">
            <w:pPr>
              <w:pStyle w:val="NoSpacing"/>
              <w:rPr>
                <w:rFonts w:cstheme="minorHAnsi"/>
                <w:color w:val="000000" w:themeColor="text1"/>
              </w:rPr>
            </w:pPr>
            <w:r w:rsidRPr="001B1B56">
              <w:rPr>
                <w:rFonts w:cstheme="minorHAnsi"/>
                <w:color w:val="000000" w:themeColor="text1"/>
              </w:rPr>
              <w:t>Northwestern University</w:t>
            </w:r>
          </w:p>
        </w:tc>
        <w:tc>
          <w:tcPr>
            <w:tcW w:w="4675" w:type="dxa"/>
          </w:tcPr>
          <w:p w14:paraId="3AA8E4FA" w14:textId="77777777" w:rsidR="00003EBD" w:rsidRPr="001B1B56" w:rsidRDefault="00003EBD" w:rsidP="00003EBD">
            <w:pPr>
              <w:pStyle w:val="NoSpacing"/>
              <w:rPr>
                <w:rFonts w:cstheme="minorHAnsi"/>
                <w:color w:val="000000" w:themeColor="text1"/>
              </w:rPr>
            </w:pPr>
            <w:r w:rsidRPr="001B1B56">
              <w:rPr>
                <w:b/>
                <w:bCs/>
                <w:color w:val="000000"/>
              </w:rPr>
              <w:t xml:space="preserve">Carol </w:t>
            </w:r>
            <w:r>
              <w:rPr>
                <w:b/>
                <w:bCs/>
                <w:color w:val="000000"/>
              </w:rPr>
              <w:t xml:space="preserve">J. </w:t>
            </w:r>
            <w:r w:rsidRPr="001B1B56">
              <w:rPr>
                <w:b/>
                <w:bCs/>
              </w:rPr>
              <w:t xml:space="preserve">Levy, MD, CDCES </w:t>
            </w:r>
          </w:p>
          <w:p w14:paraId="7C650D94" w14:textId="77777777" w:rsidR="00003EBD" w:rsidRPr="001B1B56" w:rsidRDefault="00003EBD" w:rsidP="00003EBD">
            <w:pPr>
              <w:pStyle w:val="NoSpacing"/>
              <w:rPr>
                <w:rFonts w:cstheme="minorHAnsi"/>
                <w:color w:val="000000" w:themeColor="text1"/>
              </w:rPr>
            </w:pPr>
            <w:r w:rsidRPr="001B1B56">
              <w:t xml:space="preserve">Professor of Medicine and Obstetrics </w:t>
            </w:r>
          </w:p>
          <w:p w14:paraId="4BC6E0E6" w14:textId="77777777" w:rsidR="00003EBD" w:rsidRPr="001B1B56" w:rsidRDefault="00003EBD" w:rsidP="00003EBD">
            <w:pPr>
              <w:pStyle w:val="NoSpacing"/>
              <w:rPr>
                <w:rFonts w:cstheme="minorHAnsi"/>
                <w:b/>
                <w:bCs/>
                <w:color w:val="000000" w:themeColor="text1"/>
              </w:rPr>
            </w:pPr>
            <w:r w:rsidRPr="001B1B56">
              <w:t>Director Mount Sinai Diabetes Center and T1D clinical research</w:t>
            </w:r>
          </w:p>
          <w:p w14:paraId="27AEB465" w14:textId="77777777" w:rsidR="00003EBD" w:rsidRPr="001B1B56" w:rsidRDefault="00003EBD" w:rsidP="00003EBD">
            <w:pPr>
              <w:pStyle w:val="NoSpacing"/>
              <w:rPr>
                <w:b/>
                <w:bCs/>
                <w:color w:val="000000"/>
              </w:rPr>
            </w:pPr>
            <w:r w:rsidRPr="001B1B56">
              <w:t>Division of Endocrinology, Diabetes, and Metabolism</w:t>
            </w:r>
          </w:p>
          <w:p w14:paraId="28E6B46D" w14:textId="744B3C30" w:rsidR="00003EBD" w:rsidRPr="001B1B56" w:rsidRDefault="00003EBD" w:rsidP="00003EBD">
            <w:pPr>
              <w:pStyle w:val="NoSpacing"/>
              <w:rPr>
                <w:rFonts w:cstheme="minorHAnsi"/>
                <w:b/>
                <w:bCs/>
                <w:color w:val="000000" w:themeColor="text1"/>
              </w:rPr>
            </w:pPr>
            <w:r w:rsidRPr="001B1B56">
              <w:t xml:space="preserve">Icahn </w:t>
            </w:r>
            <w:r w:rsidRPr="001B1B56">
              <w:rPr>
                <w:color w:val="000000"/>
              </w:rPr>
              <w:t>School of Medicine at Mount Sinai</w:t>
            </w:r>
          </w:p>
        </w:tc>
      </w:tr>
      <w:tr w:rsidR="00003EBD" w:rsidRPr="001B1B56" w14:paraId="68B5B3BC" w14:textId="2B4D1D28" w:rsidTr="00AE74F0">
        <w:trPr>
          <w:trHeight w:val="269"/>
        </w:trPr>
        <w:tc>
          <w:tcPr>
            <w:tcW w:w="4675" w:type="dxa"/>
            <w:vMerge/>
          </w:tcPr>
          <w:p w14:paraId="4DC0637E" w14:textId="599BF431" w:rsidR="00003EBD" w:rsidRPr="001B1B56" w:rsidRDefault="00003EBD" w:rsidP="00003EBD">
            <w:pPr>
              <w:pStyle w:val="NoSpacing"/>
              <w:rPr>
                <w:rFonts w:cstheme="minorHAnsi"/>
                <w:color w:val="000000" w:themeColor="text1"/>
              </w:rPr>
            </w:pPr>
          </w:p>
        </w:tc>
        <w:tc>
          <w:tcPr>
            <w:tcW w:w="4675" w:type="dxa"/>
            <w:vMerge w:val="restart"/>
          </w:tcPr>
          <w:p w14:paraId="5BC2853A" w14:textId="77777777" w:rsidR="00003EBD" w:rsidRDefault="00003EBD" w:rsidP="00003EBD">
            <w:pPr>
              <w:pStyle w:val="NoSpacing"/>
              <w:rPr>
                <w:rFonts w:cstheme="minorHAnsi"/>
                <w:b/>
                <w:bCs/>
                <w:color w:val="000000" w:themeColor="text1"/>
              </w:rPr>
            </w:pPr>
          </w:p>
          <w:p w14:paraId="5A4339A8" w14:textId="48395D71" w:rsidR="00003EBD" w:rsidRPr="001B1B56" w:rsidRDefault="00003EBD" w:rsidP="00003EBD">
            <w:pPr>
              <w:pStyle w:val="NoSpacing"/>
              <w:rPr>
                <w:color w:val="000000"/>
              </w:rPr>
            </w:pPr>
            <w:r w:rsidRPr="001B1B56">
              <w:rPr>
                <w:rFonts w:cstheme="minorHAnsi"/>
                <w:b/>
                <w:bCs/>
                <w:color w:val="000000" w:themeColor="text1"/>
              </w:rPr>
              <w:t>Janet McGill, MD, MA, FACE, FACP</w:t>
            </w:r>
          </w:p>
          <w:p w14:paraId="6007C17D" w14:textId="77777777" w:rsidR="00003EBD" w:rsidRPr="001B1B56" w:rsidRDefault="00003EBD" w:rsidP="00003EBD">
            <w:pPr>
              <w:pStyle w:val="NoSpacing"/>
              <w:rPr>
                <w:b/>
                <w:bCs/>
              </w:rPr>
            </w:pPr>
            <w:r w:rsidRPr="001B1B56">
              <w:rPr>
                <w:rFonts w:cstheme="minorHAnsi"/>
                <w:color w:val="000000" w:themeColor="text1"/>
              </w:rPr>
              <w:t>Professor of Medicine</w:t>
            </w:r>
          </w:p>
          <w:p w14:paraId="2496C1FC" w14:textId="77777777" w:rsidR="00003EBD" w:rsidRPr="001B1B56" w:rsidRDefault="00003EBD" w:rsidP="00003EBD">
            <w:pPr>
              <w:pStyle w:val="NoSpacing"/>
              <w:rPr>
                <w:b/>
                <w:bCs/>
              </w:rPr>
            </w:pPr>
            <w:r w:rsidRPr="001B1B56">
              <w:rPr>
                <w:rFonts w:cstheme="minorHAnsi"/>
                <w:color w:val="000000" w:themeColor="text1"/>
              </w:rPr>
              <w:t>Washington University in St. Louis</w:t>
            </w:r>
          </w:p>
          <w:p w14:paraId="469CB7C3" w14:textId="77777777" w:rsidR="00003EBD" w:rsidRPr="001B1B56" w:rsidRDefault="00003EBD" w:rsidP="00003EBD">
            <w:pPr>
              <w:pStyle w:val="NoSpacing"/>
            </w:pPr>
            <w:r w:rsidRPr="001B1B56">
              <w:rPr>
                <w:rFonts w:cstheme="minorHAnsi"/>
                <w:color w:val="000000" w:themeColor="text1"/>
              </w:rPr>
              <w:t>School of Medicine</w:t>
            </w:r>
          </w:p>
          <w:p w14:paraId="48644C04" w14:textId="751649E4" w:rsidR="00003EBD" w:rsidRPr="00003EBD" w:rsidRDefault="00003EBD" w:rsidP="00003EBD">
            <w:pPr>
              <w:pStyle w:val="NoSpacing"/>
              <w:rPr>
                <w:color w:val="000000"/>
              </w:rPr>
            </w:pPr>
            <w:r w:rsidRPr="001B1B56">
              <w:rPr>
                <w:rFonts w:cstheme="minorHAnsi"/>
                <w:color w:val="000000" w:themeColor="text1"/>
              </w:rPr>
              <w:t>Division of Endocrinology, Metabolism and Lipid Research</w:t>
            </w:r>
          </w:p>
        </w:tc>
      </w:tr>
      <w:tr w:rsidR="00003EBD" w:rsidRPr="001B1B56" w14:paraId="12BFB5F0" w14:textId="4D85619E" w:rsidTr="00AE74F0">
        <w:trPr>
          <w:trHeight w:val="269"/>
        </w:trPr>
        <w:tc>
          <w:tcPr>
            <w:tcW w:w="4675" w:type="dxa"/>
            <w:vMerge w:val="restart"/>
          </w:tcPr>
          <w:p w14:paraId="567CC096" w14:textId="094CD876" w:rsidR="00003EBD" w:rsidRPr="001B1B56" w:rsidRDefault="00003EBD" w:rsidP="00003EBD">
            <w:pPr>
              <w:pStyle w:val="NoSpacing"/>
              <w:rPr>
                <w:b/>
                <w:bCs/>
              </w:rPr>
            </w:pPr>
            <w:r w:rsidRPr="001B1B56">
              <w:rPr>
                <w:b/>
                <w:bCs/>
              </w:rPr>
              <w:t>Gregory P. Forlenza, MD</w:t>
            </w:r>
          </w:p>
          <w:p w14:paraId="0AF52D10" w14:textId="77777777" w:rsidR="00003EBD" w:rsidRPr="001B1B56" w:rsidRDefault="00003EBD" w:rsidP="00003EBD">
            <w:pPr>
              <w:pStyle w:val="NoSpacing"/>
            </w:pPr>
            <w:r w:rsidRPr="001B1B56">
              <w:t>Associate Professor of Pediatrics</w:t>
            </w:r>
          </w:p>
          <w:p w14:paraId="7ACE67DF" w14:textId="77777777" w:rsidR="00003EBD" w:rsidRPr="001B1B56" w:rsidRDefault="00003EBD" w:rsidP="00003EBD">
            <w:pPr>
              <w:pStyle w:val="NoSpacing"/>
            </w:pPr>
            <w:r w:rsidRPr="001B1B56">
              <w:t xml:space="preserve">Barbara Davis Center for Childhood Diabetes </w:t>
            </w:r>
          </w:p>
          <w:p w14:paraId="5B73C488" w14:textId="77777777" w:rsidR="00003EBD" w:rsidRPr="001B1B56" w:rsidRDefault="00003EBD" w:rsidP="00003EBD">
            <w:pPr>
              <w:pStyle w:val="NoSpacing"/>
            </w:pPr>
            <w:r w:rsidRPr="001B1B56">
              <w:t xml:space="preserve">Pediatric Endocrinology </w:t>
            </w:r>
          </w:p>
          <w:p w14:paraId="3E7467D2" w14:textId="03476C41" w:rsidR="00003EBD" w:rsidRPr="001B1B56" w:rsidRDefault="00003EBD" w:rsidP="00003EBD">
            <w:pPr>
              <w:pStyle w:val="NoSpacing"/>
              <w:rPr>
                <w:color w:val="000000"/>
              </w:rPr>
            </w:pPr>
            <w:r w:rsidRPr="001B1B56">
              <w:t>University of Colorado Denver</w:t>
            </w:r>
          </w:p>
        </w:tc>
        <w:tc>
          <w:tcPr>
            <w:tcW w:w="4675" w:type="dxa"/>
            <w:vMerge/>
          </w:tcPr>
          <w:p w14:paraId="10FECE95" w14:textId="3FA56CD1" w:rsidR="00003EBD" w:rsidRPr="001B1B56" w:rsidRDefault="00003EBD" w:rsidP="00003EBD">
            <w:pPr>
              <w:pStyle w:val="NoSpacing"/>
              <w:rPr>
                <w:b/>
                <w:bCs/>
                <w:color w:val="000000"/>
              </w:rPr>
            </w:pPr>
          </w:p>
        </w:tc>
      </w:tr>
      <w:tr w:rsidR="00003EBD" w:rsidRPr="001B1B56" w14:paraId="3406B9F0" w14:textId="16EA7E92" w:rsidTr="00AE74F0">
        <w:trPr>
          <w:trHeight w:val="269"/>
        </w:trPr>
        <w:tc>
          <w:tcPr>
            <w:tcW w:w="4675" w:type="dxa"/>
            <w:vMerge/>
          </w:tcPr>
          <w:p w14:paraId="4ED7488A" w14:textId="4E729375" w:rsidR="00003EBD" w:rsidRPr="001B1B56" w:rsidRDefault="00003EBD" w:rsidP="00003EBD">
            <w:pPr>
              <w:pStyle w:val="NoSpacing"/>
              <w:rPr>
                <w:color w:val="000000"/>
              </w:rPr>
            </w:pPr>
          </w:p>
        </w:tc>
        <w:tc>
          <w:tcPr>
            <w:tcW w:w="4675" w:type="dxa"/>
            <w:vMerge w:val="restart"/>
          </w:tcPr>
          <w:p w14:paraId="5495746E" w14:textId="77777777" w:rsidR="00003EBD" w:rsidRDefault="00003EBD" w:rsidP="00003EBD">
            <w:pPr>
              <w:pStyle w:val="NoSpacing"/>
              <w:rPr>
                <w:b/>
                <w:bCs/>
              </w:rPr>
            </w:pPr>
          </w:p>
          <w:p w14:paraId="731DAD68" w14:textId="04A085B8" w:rsidR="00003EBD" w:rsidRPr="001B1B56" w:rsidRDefault="00003EBD" w:rsidP="00003EBD">
            <w:pPr>
              <w:pStyle w:val="NoSpacing"/>
            </w:pPr>
            <w:r w:rsidRPr="001B1B56">
              <w:rPr>
                <w:b/>
                <w:bCs/>
              </w:rPr>
              <w:t>Guillermo Umpierrez, MD, CDE</w:t>
            </w:r>
          </w:p>
          <w:p w14:paraId="549264A4" w14:textId="77777777" w:rsidR="00003EBD" w:rsidRPr="001B1B56" w:rsidRDefault="00003EBD" w:rsidP="00003EBD">
            <w:pPr>
              <w:pStyle w:val="NoSpacing"/>
              <w:rPr>
                <w:rFonts w:cstheme="minorHAnsi"/>
                <w:color w:val="000000" w:themeColor="text1"/>
              </w:rPr>
            </w:pPr>
            <w:r w:rsidRPr="001B1B56">
              <w:rPr>
                <w:color w:val="000000"/>
              </w:rPr>
              <w:t>Professor of Medicine, Division of Endocrinology, Metabolism</w:t>
            </w:r>
          </w:p>
          <w:p w14:paraId="3D065785" w14:textId="0F2BDD25" w:rsidR="00003EBD" w:rsidRPr="001B1B56" w:rsidRDefault="00003EBD" w:rsidP="00003EBD">
            <w:pPr>
              <w:pStyle w:val="NoSpacing"/>
              <w:rPr>
                <w:color w:val="000000"/>
              </w:rPr>
            </w:pPr>
            <w:r w:rsidRPr="001B1B56">
              <w:rPr>
                <w:color w:val="000000"/>
              </w:rPr>
              <w:t>Emory University School of Medicine</w:t>
            </w:r>
          </w:p>
        </w:tc>
      </w:tr>
      <w:tr w:rsidR="00003EBD" w:rsidRPr="001B1B56" w14:paraId="0FC71790" w14:textId="44E39811" w:rsidTr="00AE74F0">
        <w:trPr>
          <w:trHeight w:val="269"/>
        </w:trPr>
        <w:tc>
          <w:tcPr>
            <w:tcW w:w="4675" w:type="dxa"/>
            <w:vMerge w:val="restart"/>
          </w:tcPr>
          <w:p w14:paraId="21E30D64" w14:textId="0A6C0398" w:rsidR="00003EBD" w:rsidRPr="001B1B56" w:rsidRDefault="00003EBD" w:rsidP="00003EBD">
            <w:pPr>
              <w:pStyle w:val="NoSpacing"/>
              <w:rPr>
                <w:rFonts w:cstheme="minorHAnsi"/>
                <w:b/>
                <w:bCs/>
              </w:rPr>
            </w:pPr>
            <w:r w:rsidRPr="001B1B56">
              <w:rPr>
                <w:rFonts w:cstheme="minorHAnsi"/>
                <w:b/>
                <w:bCs/>
              </w:rPr>
              <w:t>Rodolfo J. Galindo, MD, FACE</w:t>
            </w:r>
          </w:p>
          <w:p w14:paraId="1E856F66" w14:textId="77777777" w:rsidR="00003EBD" w:rsidRPr="001B1B56" w:rsidRDefault="00003EBD" w:rsidP="00003EBD">
            <w:pPr>
              <w:pStyle w:val="NormalWeb"/>
              <w:rPr>
                <w:rFonts w:asciiTheme="minorHAnsi" w:hAnsiTheme="minorHAnsi" w:cstheme="minorHAnsi"/>
              </w:rPr>
            </w:pPr>
            <w:r w:rsidRPr="001B1B56">
              <w:rPr>
                <w:rFonts w:asciiTheme="minorHAnsi" w:hAnsiTheme="minorHAnsi" w:cstheme="minorHAnsi"/>
                <w:color w:val="000000"/>
              </w:rPr>
              <w:t>Associate Professor of Medicine</w:t>
            </w:r>
          </w:p>
          <w:p w14:paraId="000F6D22" w14:textId="77777777" w:rsidR="00003EBD" w:rsidRPr="001B1B56" w:rsidRDefault="00003EBD" w:rsidP="00003EBD">
            <w:pPr>
              <w:pStyle w:val="NormalWeb"/>
              <w:rPr>
                <w:rFonts w:asciiTheme="minorHAnsi" w:hAnsiTheme="minorHAnsi" w:cstheme="minorHAnsi"/>
              </w:rPr>
            </w:pPr>
            <w:r w:rsidRPr="001B1B56">
              <w:rPr>
                <w:rFonts w:asciiTheme="minorHAnsi" w:hAnsiTheme="minorHAnsi" w:cstheme="minorHAnsi"/>
                <w:color w:val="000000"/>
              </w:rPr>
              <w:t>University of Miami Miller School of Medicine</w:t>
            </w:r>
          </w:p>
          <w:p w14:paraId="6ADA52FE" w14:textId="77777777" w:rsidR="00003EBD" w:rsidRPr="001B1B56" w:rsidRDefault="00003EBD" w:rsidP="00003EBD">
            <w:pPr>
              <w:pStyle w:val="NormalWeb"/>
              <w:rPr>
                <w:rFonts w:asciiTheme="minorHAnsi" w:hAnsiTheme="minorHAnsi" w:cstheme="minorHAnsi"/>
              </w:rPr>
            </w:pPr>
            <w:r w:rsidRPr="001B1B56">
              <w:rPr>
                <w:rFonts w:asciiTheme="minorHAnsi" w:hAnsiTheme="minorHAnsi" w:cstheme="minorHAnsi"/>
                <w:color w:val="000000"/>
              </w:rPr>
              <w:t>Director, Comprehensive Diabetes Center </w:t>
            </w:r>
          </w:p>
          <w:p w14:paraId="54AEC978" w14:textId="77777777" w:rsidR="00003EBD" w:rsidRPr="001B1B56" w:rsidRDefault="00003EBD" w:rsidP="00003EBD">
            <w:pPr>
              <w:pStyle w:val="NormalWeb"/>
              <w:rPr>
                <w:rFonts w:asciiTheme="minorHAnsi" w:hAnsiTheme="minorHAnsi" w:cstheme="minorHAnsi"/>
              </w:rPr>
            </w:pPr>
            <w:r w:rsidRPr="001B1B56">
              <w:rPr>
                <w:rFonts w:asciiTheme="minorHAnsi" w:hAnsiTheme="minorHAnsi" w:cstheme="minorHAnsi"/>
                <w:color w:val="000000"/>
              </w:rPr>
              <w:t>Lennar Medical Center, UMiami Health System</w:t>
            </w:r>
          </w:p>
          <w:p w14:paraId="5073D723" w14:textId="77777777" w:rsidR="00003EBD" w:rsidRPr="001B1B56" w:rsidRDefault="00003EBD" w:rsidP="00003EBD">
            <w:pPr>
              <w:pStyle w:val="NormalWeb"/>
              <w:rPr>
                <w:rFonts w:asciiTheme="minorHAnsi" w:hAnsiTheme="minorHAnsi" w:cstheme="minorHAnsi"/>
              </w:rPr>
            </w:pPr>
            <w:r w:rsidRPr="001B1B56">
              <w:rPr>
                <w:rFonts w:asciiTheme="minorHAnsi" w:hAnsiTheme="minorHAnsi" w:cstheme="minorHAnsi"/>
                <w:color w:val="000000"/>
              </w:rPr>
              <w:t>Director, Diabetes Management</w:t>
            </w:r>
          </w:p>
          <w:p w14:paraId="3F97BC57" w14:textId="77777777" w:rsidR="00003EBD" w:rsidRDefault="00003EBD" w:rsidP="00003EBD">
            <w:pPr>
              <w:pStyle w:val="NoSpacing"/>
              <w:rPr>
                <w:rFonts w:cstheme="minorHAnsi"/>
                <w:color w:val="000000"/>
              </w:rPr>
            </w:pPr>
            <w:r w:rsidRPr="001B1B56">
              <w:rPr>
                <w:rFonts w:cstheme="minorHAnsi"/>
                <w:color w:val="000000"/>
              </w:rPr>
              <w:t>Jackson Memorial Health System</w:t>
            </w:r>
          </w:p>
          <w:p w14:paraId="00A9DE70" w14:textId="1AEFB4DE" w:rsidR="00003EBD" w:rsidRPr="001B1B56" w:rsidRDefault="00003EBD" w:rsidP="00003EBD">
            <w:pPr>
              <w:pStyle w:val="NoSpacing"/>
              <w:rPr>
                <w:b/>
                <w:bCs/>
              </w:rPr>
            </w:pPr>
          </w:p>
        </w:tc>
        <w:tc>
          <w:tcPr>
            <w:tcW w:w="4675" w:type="dxa"/>
            <w:vMerge/>
          </w:tcPr>
          <w:p w14:paraId="6A4DA9B4" w14:textId="520FC6C7" w:rsidR="00003EBD" w:rsidRPr="001B1B56" w:rsidRDefault="00003EBD" w:rsidP="00003EBD">
            <w:pPr>
              <w:pStyle w:val="NoSpacing"/>
              <w:rPr>
                <w:b/>
                <w:bCs/>
              </w:rPr>
            </w:pPr>
          </w:p>
        </w:tc>
      </w:tr>
      <w:tr w:rsidR="00003EBD" w:rsidRPr="001B1B56" w14:paraId="2B4CE428" w14:textId="57E529A1" w:rsidTr="00AE74F0">
        <w:trPr>
          <w:trHeight w:val="269"/>
        </w:trPr>
        <w:tc>
          <w:tcPr>
            <w:tcW w:w="4675" w:type="dxa"/>
            <w:vMerge/>
          </w:tcPr>
          <w:p w14:paraId="13F7FA60" w14:textId="4652AADE" w:rsidR="00003EBD" w:rsidRPr="001B1B56" w:rsidRDefault="00003EBD" w:rsidP="00003EBD">
            <w:pPr>
              <w:pStyle w:val="NoSpacing"/>
            </w:pPr>
          </w:p>
        </w:tc>
        <w:tc>
          <w:tcPr>
            <w:tcW w:w="4675" w:type="dxa"/>
          </w:tcPr>
          <w:p w14:paraId="2B4FAEB2" w14:textId="77777777" w:rsidR="00003EBD" w:rsidRPr="001B1B56" w:rsidRDefault="00003EBD" w:rsidP="00003EBD">
            <w:pPr>
              <w:pStyle w:val="NoSpacing"/>
              <w:rPr>
                <w:b/>
                <w:bCs/>
              </w:rPr>
            </w:pPr>
          </w:p>
          <w:p w14:paraId="259348F6" w14:textId="653AE204" w:rsidR="00003EBD" w:rsidRPr="001B1B56" w:rsidRDefault="00003EBD" w:rsidP="00003EBD">
            <w:pPr>
              <w:pStyle w:val="PlainText"/>
              <w:rPr>
                <w:szCs w:val="22"/>
              </w:rPr>
            </w:pPr>
          </w:p>
          <w:p w14:paraId="0D7ADD9B" w14:textId="1FCA0E4C" w:rsidR="00003EBD" w:rsidRPr="001B1B56" w:rsidRDefault="00003EBD" w:rsidP="00003EBD">
            <w:pPr>
              <w:pStyle w:val="PlainText"/>
              <w:rPr>
                <w:szCs w:val="22"/>
              </w:rPr>
            </w:pPr>
          </w:p>
        </w:tc>
      </w:tr>
      <w:tr w:rsidR="00003EBD" w:rsidRPr="001B1B56" w14:paraId="70B78649" w14:textId="77777777" w:rsidTr="00AE74F0">
        <w:trPr>
          <w:trHeight w:val="20"/>
        </w:trPr>
        <w:tc>
          <w:tcPr>
            <w:tcW w:w="4675" w:type="dxa"/>
          </w:tcPr>
          <w:p w14:paraId="78FA7A18" w14:textId="77777777" w:rsidR="00003EBD" w:rsidRPr="001B1B56" w:rsidRDefault="00003EBD" w:rsidP="00003EBD">
            <w:pPr>
              <w:pStyle w:val="NoSpacing"/>
              <w:rPr>
                <w:rFonts w:cstheme="minorHAnsi"/>
                <w:b/>
                <w:bCs/>
                <w:color w:val="000000" w:themeColor="text1"/>
              </w:rPr>
            </w:pPr>
            <w:r w:rsidRPr="001B1B56">
              <w:rPr>
                <w:rFonts w:cstheme="minorHAnsi"/>
                <w:b/>
                <w:bCs/>
                <w:color w:val="000000" w:themeColor="text1"/>
              </w:rPr>
              <w:t>Davida F. Kruger, MSN, APN-BC, BC-ADM</w:t>
            </w:r>
          </w:p>
          <w:p w14:paraId="3C2AD591"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Certified Nurse Practitioner</w:t>
            </w:r>
          </w:p>
          <w:p w14:paraId="524FF66A" w14:textId="77777777" w:rsidR="00003EBD" w:rsidRPr="001B1B56" w:rsidRDefault="00003EBD" w:rsidP="00003EBD">
            <w:pPr>
              <w:pStyle w:val="NoSpacing"/>
              <w:rPr>
                <w:rFonts w:cstheme="minorHAnsi"/>
                <w:color w:val="000000" w:themeColor="text1"/>
              </w:rPr>
            </w:pPr>
            <w:r w:rsidRPr="001B1B56">
              <w:rPr>
                <w:rFonts w:cstheme="minorHAnsi"/>
                <w:color w:val="000000" w:themeColor="text1"/>
              </w:rPr>
              <w:t>Henry Ford Health System</w:t>
            </w:r>
          </w:p>
          <w:p w14:paraId="35874816" w14:textId="60AD1912" w:rsidR="00003EBD" w:rsidRPr="001B1B56" w:rsidRDefault="00003EBD" w:rsidP="00003EBD">
            <w:pPr>
              <w:pStyle w:val="NormalWeb"/>
              <w:rPr>
                <w:rFonts w:asciiTheme="minorHAnsi" w:hAnsiTheme="minorHAnsi" w:cstheme="minorHAnsi"/>
              </w:rPr>
            </w:pPr>
            <w:r w:rsidRPr="001B1B56">
              <w:rPr>
                <w:rFonts w:cstheme="minorHAnsi"/>
                <w:color w:val="000000" w:themeColor="text1"/>
              </w:rPr>
              <w:t>Division of Endocrinology, Diabetes, Bone and Mineral Disease</w:t>
            </w:r>
          </w:p>
        </w:tc>
        <w:tc>
          <w:tcPr>
            <w:tcW w:w="4675" w:type="dxa"/>
          </w:tcPr>
          <w:p w14:paraId="21E531E3" w14:textId="77777777" w:rsidR="00003EBD" w:rsidRPr="001B1B56" w:rsidRDefault="00003EBD" w:rsidP="00003EBD">
            <w:pPr>
              <w:pStyle w:val="NormalWeb"/>
              <w:rPr>
                <w:rFonts w:asciiTheme="minorHAnsi" w:hAnsiTheme="minorHAnsi" w:cstheme="minorHAnsi"/>
                <w:color w:val="000000"/>
              </w:rPr>
            </w:pPr>
          </w:p>
        </w:tc>
      </w:tr>
      <w:tr w:rsidR="00003EBD" w:rsidRPr="001B1B56" w14:paraId="6FFC0F07" w14:textId="77777777" w:rsidTr="00AE74F0">
        <w:trPr>
          <w:trHeight w:val="20"/>
        </w:trPr>
        <w:tc>
          <w:tcPr>
            <w:tcW w:w="4675" w:type="dxa"/>
          </w:tcPr>
          <w:p w14:paraId="3E8E4157" w14:textId="77777777" w:rsidR="00003EBD" w:rsidRPr="001B1B56" w:rsidRDefault="00003EBD" w:rsidP="00003EBD">
            <w:pPr>
              <w:pStyle w:val="NormalWeb"/>
              <w:rPr>
                <w:rFonts w:asciiTheme="minorHAnsi" w:hAnsiTheme="minorHAnsi" w:cstheme="minorHAnsi"/>
              </w:rPr>
            </w:pPr>
          </w:p>
        </w:tc>
        <w:tc>
          <w:tcPr>
            <w:tcW w:w="4675" w:type="dxa"/>
          </w:tcPr>
          <w:p w14:paraId="726D8E61" w14:textId="77777777" w:rsidR="00003EBD" w:rsidRPr="001B1B56" w:rsidRDefault="00003EBD" w:rsidP="00003EBD">
            <w:pPr>
              <w:pStyle w:val="NormalWeb"/>
              <w:rPr>
                <w:rFonts w:asciiTheme="minorHAnsi" w:hAnsiTheme="minorHAnsi" w:cstheme="minorHAnsi"/>
                <w:color w:val="000000"/>
              </w:rPr>
            </w:pPr>
          </w:p>
        </w:tc>
      </w:tr>
      <w:tr w:rsidR="00003EBD" w:rsidRPr="001B1B56" w14:paraId="547B204F" w14:textId="77777777" w:rsidTr="00AE74F0">
        <w:trPr>
          <w:trHeight w:val="20"/>
        </w:trPr>
        <w:tc>
          <w:tcPr>
            <w:tcW w:w="4675" w:type="dxa"/>
          </w:tcPr>
          <w:p w14:paraId="62876445" w14:textId="77777777" w:rsidR="00003EBD" w:rsidRPr="001B1B56" w:rsidRDefault="00003EBD" w:rsidP="00003EBD">
            <w:pPr>
              <w:pStyle w:val="NormalWeb"/>
              <w:rPr>
                <w:rFonts w:asciiTheme="minorHAnsi" w:hAnsiTheme="minorHAnsi" w:cstheme="minorHAnsi"/>
              </w:rPr>
            </w:pPr>
          </w:p>
        </w:tc>
        <w:tc>
          <w:tcPr>
            <w:tcW w:w="4675" w:type="dxa"/>
          </w:tcPr>
          <w:p w14:paraId="7F1E9D07" w14:textId="77777777" w:rsidR="00003EBD" w:rsidRPr="001B1B56" w:rsidRDefault="00003EBD" w:rsidP="00003EBD">
            <w:pPr>
              <w:pStyle w:val="NormalWeb"/>
              <w:rPr>
                <w:rFonts w:asciiTheme="minorHAnsi" w:hAnsiTheme="minorHAnsi" w:cstheme="minorHAnsi"/>
                <w:color w:val="000000"/>
              </w:rPr>
            </w:pPr>
          </w:p>
        </w:tc>
      </w:tr>
    </w:tbl>
    <w:p w14:paraId="1AE01BFB" w14:textId="77777777" w:rsidR="00346864" w:rsidRDefault="00346864" w:rsidP="00705B90">
      <w:pPr>
        <w:pStyle w:val="NoSpacing"/>
        <w:rPr>
          <w:rFonts w:cstheme="minorHAnsi"/>
          <w:sz w:val="24"/>
          <w:szCs w:val="24"/>
        </w:rPr>
        <w:sectPr w:rsidR="00346864" w:rsidSect="00346864">
          <w:type w:val="continuous"/>
          <w:pgSz w:w="12240" w:h="15840"/>
          <w:pgMar w:top="1440" w:right="1440" w:bottom="1440" w:left="1440" w:header="720" w:footer="720" w:gutter="0"/>
          <w:cols w:space="720"/>
          <w:docGrid w:linePitch="360"/>
        </w:sectPr>
      </w:pPr>
    </w:p>
    <w:p w14:paraId="3B52AAFB" w14:textId="77777777" w:rsidR="00705B90" w:rsidRPr="00667BE3" w:rsidRDefault="00705B90" w:rsidP="00705B90">
      <w:pPr>
        <w:pStyle w:val="NoSpacing"/>
        <w:rPr>
          <w:rFonts w:cstheme="minorHAnsi"/>
          <w:sz w:val="24"/>
          <w:szCs w:val="24"/>
        </w:rPr>
      </w:pPr>
    </w:p>
    <w:p w14:paraId="135BA797" w14:textId="77A1BC9F" w:rsidR="00F51AD3" w:rsidRPr="006E2E75" w:rsidRDefault="00F51AD3" w:rsidP="004B67B4">
      <w:pPr>
        <w:pStyle w:val="NoSpacing"/>
        <w:rPr>
          <w:sz w:val="24"/>
          <w:szCs w:val="24"/>
        </w:rPr>
      </w:pPr>
    </w:p>
    <w:sectPr w:rsidR="00F51AD3" w:rsidRPr="006E2E75" w:rsidSect="00BA14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5DAC" w14:textId="77777777" w:rsidR="006B3D0E" w:rsidRDefault="006B3D0E" w:rsidP="00436D64">
      <w:pPr>
        <w:spacing w:after="0" w:line="240" w:lineRule="auto"/>
      </w:pPr>
      <w:r>
        <w:separator/>
      </w:r>
    </w:p>
  </w:endnote>
  <w:endnote w:type="continuationSeparator" w:id="0">
    <w:p w14:paraId="49482376" w14:textId="77777777" w:rsidR="006B3D0E" w:rsidRDefault="006B3D0E" w:rsidP="00436D64">
      <w:pPr>
        <w:spacing w:after="0" w:line="240" w:lineRule="auto"/>
      </w:pPr>
      <w:r>
        <w:continuationSeparator/>
      </w:r>
    </w:p>
  </w:endnote>
  <w:endnote w:type="continuationNotice" w:id="1">
    <w:p w14:paraId="6709477E" w14:textId="77777777" w:rsidR="006B3D0E" w:rsidRDefault="006B3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E722" w14:textId="77777777" w:rsidR="003E46CD" w:rsidRDefault="003E4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601073964"/>
      <w:docPartObj>
        <w:docPartGallery w:val="Page Numbers (Bottom of Page)"/>
        <w:docPartUnique/>
      </w:docPartObj>
    </w:sdtPr>
    <w:sdtEndPr>
      <w:rPr>
        <w:noProof/>
      </w:rPr>
    </w:sdtEndPr>
    <w:sdtContent>
      <w:p w14:paraId="3D38A3F6" w14:textId="166A9FD2" w:rsidR="00436D64" w:rsidRPr="004B67B4" w:rsidRDefault="00436D64">
        <w:pPr>
          <w:pStyle w:val="Footer"/>
          <w:jc w:val="center"/>
          <w:rPr>
            <w:rFonts w:ascii="Times New Roman" w:hAnsi="Times New Roman" w:cs="Times New Roman"/>
          </w:rPr>
        </w:pPr>
        <w:r w:rsidRPr="006E2E75">
          <w:rPr>
            <w:rFonts w:ascii="Times New Roman" w:hAnsi="Times New Roman" w:cs="Times New Roman"/>
          </w:rPr>
          <w:fldChar w:fldCharType="begin"/>
        </w:r>
        <w:r w:rsidRPr="006E2E75">
          <w:rPr>
            <w:rFonts w:ascii="Times New Roman" w:hAnsi="Times New Roman" w:cs="Times New Roman"/>
          </w:rPr>
          <w:instrText xml:space="preserve"> PAGE   \* MERGEFORMAT </w:instrText>
        </w:r>
        <w:r w:rsidRPr="006E2E75">
          <w:rPr>
            <w:rFonts w:ascii="Times New Roman" w:hAnsi="Times New Roman" w:cs="Times New Roman"/>
          </w:rPr>
          <w:fldChar w:fldCharType="separate"/>
        </w:r>
        <w:r w:rsidRPr="006E2E75">
          <w:rPr>
            <w:rFonts w:ascii="Times New Roman" w:hAnsi="Times New Roman" w:cs="Times New Roman"/>
            <w:noProof/>
          </w:rPr>
          <w:t>2</w:t>
        </w:r>
        <w:r w:rsidRPr="006E2E75">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9877" w14:textId="77777777" w:rsidR="003E46CD" w:rsidRDefault="003E46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iDocIDFieldc9e5f0fb-7c06-4315-bd49-54ba"/>
  <w:p w14:paraId="62DB015C" w14:textId="77777777" w:rsidR="00705B90" w:rsidRDefault="00705B90">
    <w:pPr>
      <w:pStyle w:val="DocID"/>
    </w:pPr>
    <w:r>
      <w:fldChar w:fldCharType="begin"/>
    </w:r>
    <w:r>
      <w:instrText xml:space="preserve">  DOCPROPERTY "CUS_DocIDChunk0" </w:instrText>
    </w:r>
    <w:r>
      <w:fldChar w:fldCharType="separate"/>
    </w:r>
    <w:r>
      <w:rPr>
        <w:noProof/>
      </w:rPr>
      <w:t>LEGAL02/41098482v1</w:t>
    </w:r>
    <w:r>
      <w:fldChar w:fldCharType="end"/>
    </w:r>
    <w:bookmarkEnd w:id="1"/>
  </w:p>
  <w:p w14:paraId="14DC60DE" w14:textId="1C9BA950" w:rsidR="009B68A6" w:rsidRPr="009B68A6" w:rsidRDefault="009B68A6" w:rsidP="001B143E">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110107"/>
      <w:docPartObj>
        <w:docPartGallery w:val="Page Numbers (Bottom of Page)"/>
        <w:docPartUnique/>
      </w:docPartObj>
    </w:sdtPr>
    <w:sdtEndPr>
      <w:rPr>
        <w:noProof/>
      </w:rPr>
    </w:sdtEndPr>
    <w:sdtContent>
      <w:p w14:paraId="77D73748" w14:textId="77777777" w:rsidR="00705B90" w:rsidRDefault="00705B90" w:rsidP="008C1427">
        <w:pPr>
          <w:pStyle w:val="Footer"/>
          <w:jc w:val="center"/>
          <w:rPr>
            <w:noProof/>
          </w:rPr>
        </w:pPr>
        <w:r>
          <w:fldChar w:fldCharType="begin"/>
        </w:r>
        <w:r>
          <w:instrText xml:space="preserve"> PAGE   \* MERGEFORMAT </w:instrText>
        </w:r>
        <w:r>
          <w:fldChar w:fldCharType="separate"/>
        </w:r>
        <w:r>
          <w:rPr>
            <w:noProof/>
          </w:rPr>
          <w:t>21</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iDocIDFieldeb3ecc6a-2ec9-4dff-8a51-8e63"/>
  <w:p w14:paraId="5C600A5A" w14:textId="77777777" w:rsidR="00705B90" w:rsidRDefault="00705B90">
    <w:pPr>
      <w:pStyle w:val="DocID"/>
    </w:pPr>
    <w:r>
      <w:fldChar w:fldCharType="begin"/>
    </w:r>
    <w:r>
      <w:instrText xml:space="preserve">  DOCPROPERTY "CUS_DocIDChunk0" </w:instrText>
    </w:r>
    <w:r>
      <w:fldChar w:fldCharType="separate"/>
    </w:r>
    <w:r>
      <w:rPr>
        <w:noProof/>
      </w:rPr>
      <w:t>LEGAL02/41098482v1</w:t>
    </w:r>
    <w:r>
      <w:fldChar w:fldCharType="end"/>
    </w:r>
    <w:bookmarkEnd w:id="2"/>
  </w:p>
  <w:p w14:paraId="7A84873F" w14:textId="6AF1F426" w:rsidR="009B68A6" w:rsidRPr="009B68A6" w:rsidRDefault="009B68A6" w:rsidP="00B062B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D703" w14:textId="77777777" w:rsidR="006B3D0E" w:rsidRDefault="006B3D0E" w:rsidP="00436D64">
      <w:pPr>
        <w:spacing w:after="0" w:line="240" w:lineRule="auto"/>
      </w:pPr>
      <w:r>
        <w:separator/>
      </w:r>
    </w:p>
  </w:footnote>
  <w:footnote w:type="continuationSeparator" w:id="0">
    <w:p w14:paraId="483B849E" w14:textId="77777777" w:rsidR="006B3D0E" w:rsidRDefault="006B3D0E" w:rsidP="00436D64">
      <w:pPr>
        <w:spacing w:after="0" w:line="240" w:lineRule="auto"/>
      </w:pPr>
      <w:r>
        <w:continuationSeparator/>
      </w:r>
    </w:p>
  </w:footnote>
  <w:footnote w:type="continuationNotice" w:id="1">
    <w:p w14:paraId="0956C506" w14:textId="77777777" w:rsidR="006B3D0E" w:rsidRDefault="006B3D0E">
      <w:pPr>
        <w:spacing w:after="0" w:line="240" w:lineRule="auto"/>
      </w:pPr>
    </w:p>
  </w:footnote>
  <w:footnote w:id="2">
    <w:p w14:paraId="2B285094" w14:textId="7CA6AD44" w:rsidR="004B67B4" w:rsidRPr="004B67B4" w:rsidRDefault="004B67B4" w:rsidP="004B67B4">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DTAC signatories </w:t>
      </w:r>
      <w:proofErr w:type="gramStart"/>
      <w:r w:rsidRPr="004B67B4">
        <w:rPr>
          <w:rFonts w:ascii="Times New Roman" w:hAnsi="Times New Roman" w:cs="Times New Roman"/>
          <w:sz w:val="18"/>
          <w:szCs w:val="18"/>
        </w:rPr>
        <w:t>include:</w:t>
      </w:r>
      <w:proofErr w:type="gramEnd"/>
      <w:r w:rsidRPr="004B67B4">
        <w:rPr>
          <w:rFonts w:ascii="Times New Roman" w:hAnsi="Times New Roman" w:cs="Times New Roman"/>
          <w:sz w:val="18"/>
          <w:szCs w:val="18"/>
        </w:rPr>
        <w:t xml:space="preserve"> Association of Diabetes Care &amp; Education Specialists; Beyond Type 1; Dexcom; Diabetes Leadership Council; Helmsley Charitable Trust; Insulet; Tandem Diabetes Care; Tidepool</w:t>
      </w:r>
    </w:p>
  </w:footnote>
  <w:footnote w:id="3">
    <w:p w14:paraId="172F0DB9" w14:textId="387D3357" w:rsidR="00521246" w:rsidRPr="004B67B4" w:rsidRDefault="00521246">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See, </w:t>
      </w:r>
      <w:r w:rsidR="00514F02" w:rsidRPr="00514F02">
        <w:rPr>
          <w:rFonts w:ascii="Times New Roman" w:hAnsi="Times New Roman" w:cs="Times New Roman"/>
          <w:sz w:val="18"/>
          <w:szCs w:val="18"/>
        </w:rPr>
        <w:t xml:space="preserve">American Diabetes Association Professional Practice Committee; 7. Diabetes Technology: Standards of Care in Diabetes—2024. Diabetes Care 1 January 2024; 47 (Supplement_1): S126–S144. </w:t>
      </w:r>
      <w:hyperlink r:id="rId1" w:history="1">
        <w:r w:rsidR="00514F02" w:rsidRPr="00DC5FF1">
          <w:rPr>
            <w:rStyle w:val="Hyperlink"/>
            <w:rFonts w:ascii="Times New Roman" w:hAnsi="Times New Roman" w:cs="Times New Roman"/>
            <w:sz w:val="18"/>
            <w:szCs w:val="18"/>
          </w:rPr>
          <w:t>https://doi.org/10.2337/dc24-S007</w:t>
        </w:r>
      </w:hyperlink>
      <w:r w:rsidRPr="004B67B4">
        <w:rPr>
          <w:rFonts w:ascii="Times New Roman" w:hAnsi="Times New Roman" w:cs="Times New Roman"/>
          <w:sz w:val="18"/>
          <w:szCs w:val="18"/>
        </w:rPr>
        <w:t xml:space="preserve">. </w:t>
      </w:r>
    </w:p>
  </w:footnote>
  <w:footnote w:id="4">
    <w:p w14:paraId="6C1F914D" w14:textId="5B9FBC56" w:rsidR="008239E1" w:rsidRPr="004B67B4" w:rsidRDefault="008239E1">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w:t>
      </w:r>
      <w:r w:rsidRPr="004B67B4">
        <w:rPr>
          <w:rFonts w:ascii="Times New Roman" w:hAnsi="Times New Roman" w:cs="Times New Roman"/>
          <w:color w:val="212121"/>
          <w:sz w:val="18"/>
          <w:szCs w:val="18"/>
          <w:shd w:val="clear" w:color="auto" w:fill="FFFFFF"/>
        </w:rPr>
        <w:t>The absence of a glycemic threshold for the development of long-term complications: the perspective of the Diabetes Control and Complications Trial. (1996). </w:t>
      </w:r>
      <w:r w:rsidRPr="004B67B4">
        <w:rPr>
          <w:rFonts w:ascii="Times New Roman" w:hAnsi="Times New Roman" w:cs="Times New Roman"/>
          <w:i/>
          <w:iCs/>
          <w:color w:val="212121"/>
          <w:sz w:val="18"/>
          <w:szCs w:val="18"/>
          <w:shd w:val="clear" w:color="auto" w:fill="FFFFFF"/>
        </w:rPr>
        <w:t>Diabetes</w:t>
      </w:r>
      <w:r w:rsidRPr="004B67B4">
        <w:rPr>
          <w:rFonts w:ascii="Times New Roman" w:hAnsi="Times New Roman" w:cs="Times New Roman"/>
          <w:color w:val="212121"/>
          <w:sz w:val="18"/>
          <w:szCs w:val="18"/>
          <w:shd w:val="clear" w:color="auto" w:fill="FFFFFF"/>
        </w:rPr>
        <w:t>, </w:t>
      </w:r>
      <w:r w:rsidRPr="004B67B4">
        <w:rPr>
          <w:rFonts w:ascii="Times New Roman" w:hAnsi="Times New Roman" w:cs="Times New Roman"/>
          <w:i/>
          <w:iCs/>
          <w:color w:val="212121"/>
          <w:sz w:val="18"/>
          <w:szCs w:val="18"/>
          <w:shd w:val="clear" w:color="auto" w:fill="FFFFFF"/>
        </w:rPr>
        <w:t>45</w:t>
      </w:r>
      <w:r w:rsidRPr="004B67B4">
        <w:rPr>
          <w:rFonts w:ascii="Times New Roman" w:hAnsi="Times New Roman" w:cs="Times New Roman"/>
          <w:color w:val="212121"/>
          <w:sz w:val="18"/>
          <w:szCs w:val="18"/>
          <w:shd w:val="clear" w:color="auto" w:fill="FFFFFF"/>
        </w:rPr>
        <w:t>(10), 1289–1298.</w:t>
      </w:r>
    </w:p>
  </w:footnote>
  <w:footnote w:id="5">
    <w:p w14:paraId="3E16F33A" w14:textId="4A11172E" w:rsidR="008239E1" w:rsidRPr="004B67B4" w:rsidRDefault="008239E1">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w:t>
      </w:r>
      <w:r w:rsidRPr="004B67B4">
        <w:rPr>
          <w:rFonts w:ascii="Times New Roman" w:hAnsi="Times New Roman" w:cs="Times New Roman"/>
          <w:color w:val="212121"/>
          <w:sz w:val="18"/>
          <w:szCs w:val="18"/>
          <w:shd w:val="clear" w:color="auto" w:fill="FFFFFF"/>
        </w:rPr>
        <w:t>Genuth S. (2006). Insights from the diabetes control and complications trial/epidemiology of diabetes interventions and complications study on the use of intensive glycemic treatment to reduce the risk of complications of type 1 diabetes. </w:t>
      </w:r>
      <w:r w:rsidRPr="004B67B4">
        <w:rPr>
          <w:rFonts w:ascii="Times New Roman" w:hAnsi="Times New Roman" w:cs="Times New Roman"/>
          <w:i/>
          <w:iCs/>
          <w:color w:val="212121"/>
          <w:sz w:val="18"/>
          <w:szCs w:val="18"/>
          <w:shd w:val="clear" w:color="auto" w:fill="FFFFFF"/>
        </w:rPr>
        <w:t>Endocrine practice : official journal of the American College of Endocrinology and the American Association of Clinical Endocrinologists</w:t>
      </w:r>
      <w:r w:rsidRPr="004B67B4">
        <w:rPr>
          <w:rFonts w:ascii="Times New Roman" w:hAnsi="Times New Roman" w:cs="Times New Roman"/>
          <w:color w:val="212121"/>
          <w:sz w:val="18"/>
          <w:szCs w:val="18"/>
          <w:shd w:val="clear" w:color="auto" w:fill="FFFFFF"/>
        </w:rPr>
        <w:t>, </w:t>
      </w:r>
      <w:r w:rsidRPr="004B67B4">
        <w:rPr>
          <w:rFonts w:ascii="Times New Roman" w:hAnsi="Times New Roman" w:cs="Times New Roman"/>
          <w:i/>
          <w:iCs/>
          <w:color w:val="212121"/>
          <w:sz w:val="18"/>
          <w:szCs w:val="18"/>
          <w:shd w:val="clear" w:color="auto" w:fill="FFFFFF"/>
        </w:rPr>
        <w:t>12 Suppl 1</w:t>
      </w:r>
      <w:r w:rsidRPr="004B67B4">
        <w:rPr>
          <w:rFonts w:ascii="Times New Roman" w:hAnsi="Times New Roman" w:cs="Times New Roman"/>
          <w:color w:val="212121"/>
          <w:sz w:val="18"/>
          <w:szCs w:val="18"/>
          <w:shd w:val="clear" w:color="auto" w:fill="FFFFFF"/>
        </w:rPr>
        <w:t>, 34–41. https://doi.org/10.4158/EP.12.S1.34</w:t>
      </w:r>
    </w:p>
  </w:footnote>
  <w:footnote w:id="6">
    <w:p w14:paraId="3F841D1D" w14:textId="64C09272" w:rsidR="00F87032" w:rsidRPr="004B67B4" w:rsidRDefault="00F87032" w:rsidP="00F87032">
      <w:pPr>
        <w:autoSpaceDE w:val="0"/>
        <w:autoSpaceDN w:val="0"/>
        <w:adjustRightInd w:val="0"/>
        <w:spacing w:after="0" w:line="240" w:lineRule="auto"/>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Lind, M., et. al., The shape of the metabolic memory of HbA1c: re-analysing the DCCT with respect to time-dependent effects.  </w:t>
      </w:r>
      <w:r w:rsidRPr="004B67B4">
        <w:rPr>
          <w:rFonts w:ascii="Times New Roman" w:hAnsi="Times New Roman" w:cs="Times New Roman"/>
          <w:color w:val="131413"/>
          <w:sz w:val="18"/>
          <w:szCs w:val="18"/>
        </w:rPr>
        <w:t>Diabetologia (2010) 53:1093–1098. DOI 10.1007/s00125-010-1706-z</w:t>
      </w:r>
    </w:p>
  </w:footnote>
  <w:footnote w:id="7">
    <w:p w14:paraId="635C1910" w14:textId="684725D7" w:rsidR="00DB5F0E" w:rsidRPr="004B67B4" w:rsidRDefault="00DB5F0E" w:rsidP="00DB5F0E">
      <w:pPr>
        <w:autoSpaceDE w:val="0"/>
        <w:autoSpaceDN w:val="0"/>
        <w:adjustRightInd w:val="0"/>
        <w:spacing w:after="0" w:line="240" w:lineRule="auto"/>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Lind M, Odén A, Fahlén M, Eliasson B. A systematic review of HbA1c variables used in the study of diabetic complications. Diabetes Metab Syndr. 2008;2(4):282-293.</w:t>
      </w:r>
    </w:p>
  </w:footnote>
  <w:footnote w:id="8">
    <w:p w14:paraId="7166156F" w14:textId="06C8E6F7" w:rsidR="00DB5F0E" w:rsidRPr="004B67B4" w:rsidRDefault="00DB5F0E">
      <w:pPr>
        <w:pStyle w:val="FootnoteText"/>
        <w:rPr>
          <w:rFonts w:ascii="Times New Roman" w:hAnsi="Times New Roman" w:cs="Times New Roman"/>
          <w:sz w:val="18"/>
          <w:szCs w:val="18"/>
        </w:rPr>
      </w:pPr>
      <w:r w:rsidRPr="004B67B4">
        <w:rPr>
          <w:rFonts w:ascii="Times New Roman" w:hAnsi="Times New Roman" w:cs="Times New Roman"/>
          <w:sz w:val="18"/>
          <w:szCs w:val="18"/>
        </w:rPr>
        <w:footnoteRef/>
      </w:r>
      <w:r w:rsidRPr="004B67B4">
        <w:rPr>
          <w:rFonts w:ascii="Times New Roman" w:hAnsi="Times New Roman" w:cs="Times New Roman"/>
          <w:sz w:val="18"/>
          <w:szCs w:val="18"/>
        </w:rPr>
        <w:t xml:space="preserve"> Lind M, Polonsky W, Hirsch IB, et al. Continuous Glucose Monitoring vs Conventional Therapy for Glycemic Control in Adults With Type 1 Diabetes Treated With Multiple Daily Insulin Injections: The GOLD Randomized Clinical Trial. </w:t>
      </w:r>
      <w:r w:rsidRPr="004B67B4">
        <w:rPr>
          <w:rFonts w:ascii="Times New Roman" w:hAnsi="Times New Roman" w:cs="Times New Roman"/>
          <w:i/>
          <w:iCs/>
          <w:sz w:val="18"/>
          <w:szCs w:val="18"/>
        </w:rPr>
        <w:t>JAMA.</w:t>
      </w:r>
      <w:r w:rsidRPr="004B67B4">
        <w:rPr>
          <w:rFonts w:ascii="Times New Roman" w:hAnsi="Times New Roman" w:cs="Times New Roman"/>
          <w:sz w:val="18"/>
          <w:szCs w:val="18"/>
        </w:rPr>
        <w:t> 2017;317(4):379–387. doi:10.1001/jama.2016.19976</w:t>
      </w:r>
    </w:p>
  </w:footnote>
  <w:footnote w:id="9">
    <w:p w14:paraId="48A1B166" w14:textId="70298D31" w:rsidR="00B65606" w:rsidRPr="004B67B4" w:rsidRDefault="00B65606">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w:t>
      </w:r>
      <w:r w:rsidRPr="004B67B4">
        <w:rPr>
          <w:rFonts w:ascii="Times New Roman" w:hAnsi="Times New Roman" w:cs="Times New Roman"/>
          <w:color w:val="212121"/>
          <w:sz w:val="18"/>
          <w:szCs w:val="18"/>
          <w:shd w:val="clear" w:color="auto" w:fill="FFFFFF"/>
        </w:rPr>
        <w:t>Vigersky, R. A., &amp; McMahon, C. (2019). The Relationship of Hemoglobin A1C to Time-in-Range in Patients with Diabetes. </w:t>
      </w:r>
      <w:r w:rsidRPr="004B67B4">
        <w:rPr>
          <w:rFonts w:ascii="Times New Roman" w:hAnsi="Times New Roman" w:cs="Times New Roman"/>
          <w:i/>
          <w:iCs/>
          <w:color w:val="212121"/>
          <w:sz w:val="18"/>
          <w:szCs w:val="18"/>
          <w:shd w:val="clear" w:color="auto" w:fill="FFFFFF"/>
        </w:rPr>
        <w:t>Diabetes technology &amp; therapeutics</w:t>
      </w:r>
      <w:r w:rsidRPr="004B67B4">
        <w:rPr>
          <w:rFonts w:ascii="Times New Roman" w:hAnsi="Times New Roman" w:cs="Times New Roman"/>
          <w:color w:val="212121"/>
          <w:sz w:val="18"/>
          <w:szCs w:val="18"/>
          <w:shd w:val="clear" w:color="auto" w:fill="FFFFFF"/>
        </w:rPr>
        <w:t>, </w:t>
      </w:r>
      <w:r w:rsidRPr="004B67B4">
        <w:rPr>
          <w:rFonts w:ascii="Times New Roman" w:hAnsi="Times New Roman" w:cs="Times New Roman"/>
          <w:i/>
          <w:iCs/>
          <w:color w:val="212121"/>
          <w:sz w:val="18"/>
          <w:szCs w:val="18"/>
          <w:shd w:val="clear" w:color="auto" w:fill="FFFFFF"/>
        </w:rPr>
        <w:t>21</w:t>
      </w:r>
      <w:r w:rsidRPr="004B67B4">
        <w:rPr>
          <w:rFonts w:ascii="Times New Roman" w:hAnsi="Times New Roman" w:cs="Times New Roman"/>
          <w:color w:val="212121"/>
          <w:sz w:val="18"/>
          <w:szCs w:val="18"/>
          <w:shd w:val="clear" w:color="auto" w:fill="FFFFFF"/>
        </w:rPr>
        <w:t>(2), 81–85. https://doi.org/10.1089/dia.2018.0310</w:t>
      </w:r>
    </w:p>
  </w:footnote>
  <w:footnote w:id="10">
    <w:p w14:paraId="3DD963AB" w14:textId="6A2B289D" w:rsidR="00B65606" w:rsidRPr="004B67B4" w:rsidRDefault="00B65606">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w:t>
      </w:r>
      <w:r w:rsidRPr="004B67B4">
        <w:rPr>
          <w:rFonts w:ascii="Times New Roman" w:hAnsi="Times New Roman" w:cs="Times New Roman"/>
          <w:color w:val="212121"/>
          <w:sz w:val="18"/>
          <w:szCs w:val="18"/>
          <w:shd w:val="clear" w:color="auto" w:fill="FFFFFF"/>
        </w:rPr>
        <w:t>Beck, R. W., Bergenstal, R. M., Cheng, P., Kollman, C., Carlson, A. L., Johnson, M. L., &amp; Rodbard, D. (2019). The Relationships Between Time in Range, Hyperglycemia Metrics, and HbA1c. </w:t>
      </w:r>
      <w:r w:rsidRPr="004B67B4">
        <w:rPr>
          <w:rFonts w:ascii="Times New Roman" w:hAnsi="Times New Roman" w:cs="Times New Roman"/>
          <w:i/>
          <w:iCs/>
          <w:color w:val="212121"/>
          <w:sz w:val="18"/>
          <w:szCs w:val="18"/>
          <w:shd w:val="clear" w:color="auto" w:fill="FFFFFF"/>
        </w:rPr>
        <w:t>Journal of diabetes science and technology</w:t>
      </w:r>
      <w:r w:rsidRPr="004B67B4">
        <w:rPr>
          <w:rFonts w:ascii="Times New Roman" w:hAnsi="Times New Roman" w:cs="Times New Roman"/>
          <w:color w:val="212121"/>
          <w:sz w:val="18"/>
          <w:szCs w:val="18"/>
          <w:shd w:val="clear" w:color="auto" w:fill="FFFFFF"/>
        </w:rPr>
        <w:t>, </w:t>
      </w:r>
      <w:r w:rsidRPr="004B67B4">
        <w:rPr>
          <w:rFonts w:ascii="Times New Roman" w:hAnsi="Times New Roman" w:cs="Times New Roman"/>
          <w:i/>
          <w:iCs/>
          <w:color w:val="212121"/>
          <w:sz w:val="18"/>
          <w:szCs w:val="18"/>
          <w:shd w:val="clear" w:color="auto" w:fill="FFFFFF"/>
        </w:rPr>
        <w:t>13</w:t>
      </w:r>
      <w:r w:rsidRPr="004B67B4">
        <w:rPr>
          <w:rFonts w:ascii="Times New Roman" w:hAnsi="Times New Roman" w:cs="Times New Roman"/>
          <w:color w:val="212121"/>
          <w:sz w:val="18"/>
          <w:szCs w:val="18"/>
          <w:shd w:val="clear" w:color="auto" w:fill="FFFFFF"/>
        </w:rPr>
        <w:t>(4), 614–626. https://doi.org/10.1177/1932296818822496</w:t>
      </w:r>
    </w:p>
  </w:footnote>
  <w:footnote w:id="11">
    <w:p w14:paraId="72B1BE91" w14:textId="601D876F" w:rsidR="00B65606" w:rsidRPr="004B67B4" w:rsidRDefault="00B65606">
      <w:pPr>
        <w:pStyle w:val="FootnoteText"/>
        <w:rPr>
          <w:rFonts w:ascii="Times New Roman" w:hAnsi="Times New Roman" w:cs="Times New Roman"/>
          <w:sz w:val="18"/>
          <w:szCs w:val="18"/>
        </w:rPr>
      </w:pPr>
      <w:r w:rsidRPr="004B67B4">
        <w:rPr>
          <w:rStyle w:val="FootnoteReference"/>
          <w:rFonts w:ascii="Times New Roman" w:hAnsi="Times New Roman" w:cs="Times New Roman"/>
          <w:sz w:val="18"/>
          <w:szCs w:val="18"/>
        </w:rPr>
        <w:footnoteRef/>
      </w:r>
      <w:r w:rsidRPr="004B67B4">
        <w:rPr>
          <w:rFonts w:ascii="Times New Roman" w:hAnsi="Times New Roman" w:cs="Times New Roman"/>
          <w:sz w:val="18"/>
          <w:szCs w:val="18"/>
        </w:rPr>
        <w:t xml:space="preserve"> </w:t>
      </w:r>
      <w:r w:rsidRPr="004B67B4">
        <w:rPr>
          <w:rFonts w:ascii="Times New Roman" w:hAnsi="Times New Roman" w:cs="Times New Roman"/>
          <w:color w:val="212121"/>
          <w:sz w:val="18"/>
          <w:szCs w:val="18"/>
          <w:shd w:val="clear" w:color="auto" w:fill="FFFFFF"/>
        </w:rPr>
        <w:t>Saboo, B., Kesavadev, J., Shankar, A., Krishna, M. B., Sheth, S., Patel, V., &amp; Krishnan, G. (2021). Time-in-range as a target in type 2 diabetes: An urgent need. </w:t>
      </w:r>
      <w:r w:rsidRPr="004B67B4">
        <w:rPr>
          <w:rFonts w:ascii="Times New Roman" w:hAnsi="Times New Roman" w:cs="Times New Roman"/>
          <w:i/>
          <w:iCs/>
          <w:color w:val="212121"/>
          <w:sz w:val="18"/>
          <w:szCs w:val="18"/>
          <w:shd w:val="clear" w:color="auto" w:fill="FFFFFF"/>
        </w:rPr>
        <w:t>Heliyon</w:t>
      </w:r>
      <w:r w:rsidRPr="004B67B4">
        <w:rPr>
          <w:rFonts w:ascii="Times New Roman" w:hAnsi="Times New Roman" w:cs="Times New Roman"/>
          <w:color w:val="212121"/>
          <w:sz w:val="18"/>
          <w:szCs w:val="18"/>
          <w:shd w:val="clear" w:color="auto" w:fill="FFFFFF"/>
        </w:rPr>
        <w:t>, </w:t>
      </w:r>
      <w:r w:rsidRPr="004B67B4">
        <w:rPr>
          <w:rFonts w:ascii="Times New Roman" w:hAnsi="Times New Roman" w:cs="Times New Roman"/>
          <w:i/>
          <w:iCs/>
          <w:color w:val="212121"/>
          <w:sz w:val="18"/>
          <w:szCs w:val="18"/>
          <w:shd w:val="clear" w:color="auto" w:fill="FFFFFF"/>
        </w:rPr>
        <w:t>7</w:t>
      </w:r>
      <w:r w:rsidRPr="004B67B4">
        <w:rPr>
          <w:rFonts w:ascii="Times New Roman" w:hAnsi="Times New Roman" w:cs="Times New Roman"/>
          <w:color w:val="212121"/>
          <w:sz w:val="18"/>
          <w:szCs w:val="18"/>
          <w:shd w:val="clear" w:color="auto" w:fill="FFFFFF"/>
        </w:rPr>
        <w:t>(1), e05967. https://doi.org/10.1016/j.heliyon.2021.e05967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B613A" w14:textId="77777777" w:rsidR="003E46CD" w:rsidRDefault="003E46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26E1" w14:textId="73272679" w:rsidR="002C6CD4" w:rsidRDefault="002C6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946" w14:textId="77777777" w:rsidR="003E46CD" w:rsidRDefault="003E46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79D" w14:textId="16C64399" w:rsidR="002C6CD4" w:rsidRDefault="002C6CD4">
    <w:pPr>
      <w:pStyle w:val="Header"/>
    </w:pPr>
    <w:r w:rsidRPr="002C6CD4">
      <w:rPr>
        <w:b/>
        <w:bCs/>
      </w:rPr>
      <w:t xml:space="preserve"> </w:t>
    </w:r>
    <w:r>
      <w:rPr>
        <w:b/>
        <w:bCs/>
      </w:rPr>
      <w:t>Table 1</w:t>
    </w:r>
    <w:r w:rsidR="004B67B4">
      <w:rPr>
        <w:b/>
        <w:bCs/>
      </w:rPr>
      <w:t>.</w:t>
    </w:r>
    <w:r w:rsidR="001B1B56">
      <w:rPr>
        <w:b/>
        <w:bCs/>
      </w:rPr>
      <w:t xml:space="preserve"> Endpoints Feedback</w:t>
    </w:r>
    <w:r w:rsidR="004B67B4">
      <w:rPr>
        <w:b/>
        <w:bCs/>
      </w:rPr>
      <w:t xml:space="preserve"> – Surrogate Markers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83538" w14:textId="77777777" w:rsidR="00705B90" w:rsidRDefault="00705B9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EF45E" w14:textId="4F1C137B" w:rsidR="00705B90" w:rsidRDefault="00705B9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8E91" w14:textId="77777777" w:rsidR="00705B90" w:rsidRDefault="00705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5DE"/>
    <w:multiLevelType w:val="hybridMultilevel"/>
    <w:tmpl w:val="1BBA0116"/>
    <w:lvl w:ilvl="0" w:tplc="CC40366C">
      <w:numFmt w:val="bullet"/>
      <w:lvlText w:val=""/>
      <w:lvlJc w:val="left"/>
      <w:pPr>
        <w:ind w:left="720" w:hanging="360"/>
      </w:pPr>
      <w:rPr>
        <w:rFonts w:ascii="Symbol" w:eastAsiaTheme="minorHAnsi" w:hAnsi="Symbol" w:cs="Arial" w:hint="default"/>
        <w:color w:val="323A4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4D1FC2"/>
    <w:multiLevelType w:val="hybridMultilevel"/>
    <w:tmpl w:val="FDE00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16454"/>
    <w:multiLevelType w:val="hybridMultilevel"/>
    <w:tmpl w:val="8BD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B97A34"/>
    <w:multiLevelType w:val="hybridMultilevel"/>
    <w:tmpl w:val="32A673C2"/>
    <w:lvl w:ilvl="0" w:tplc="528C22B8">
      <w:numFmt w:val="bullet"/>
      <w:lvlText w:val=""/>
      <w:lvlJc w:val="left"/>
      <w:pPr>
        <w:ind w:left="-450" w:hanging="360"/>
      </w:pPr>
      <w:rPr>
        <w:rFonts w:ascii="Symbol" w:eastAsiaTheme="minorHAnsi" w:hAnsi="Symbol" w:cstheme="minorBidi"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num w:numId="1" w16cid:durableId="310984965">
    <w:abstractNumId w:val="3"/>
  </w:num>
  <w:num w:numId="2" w16cid:durableId="1549494668">
    <w:abstractNumId w:val="0"/>
  </w:num>
  <w:num w:numId="3" w16cid:durableId="1289428972">
    <w:abstractNumId w:val="2"/>
  </w:num>
  <w:num w:numId="4" w16cid:durableId="1382947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14B"/>
    <w:rsid w:val="00003EBD"/>
    <w:rsid w:val="00024EB6"/>
    <w:rsid w:val="00034A47"/>
    <w:rsid w:val="00036F7C"/>
    <w:rsid w:val="00065999"/>
    <w:rsid w:val="00096ED9"/>
    <w:rsid w:val="000B27C4"/>
    <w:rsid w:val="000C138E"/>
    <w:rsid w:val="000D0406"/>
    <w:rsid w:val="000D17FA"/>
    <w:rsid w:val="00115B25"/>
    <w:rsid w:val="0013168B"/>
    <w:rsid w:val="001664F8"/>
    <w:rsid w:val="00167D83"/>
    <w:rsid w:val="001B143E"/>
    <w:rsid w:val="001B1B56"/>
    <w:rsid w:val="001B38DF"/>
    <w:rsid w:val="001B3B91"/>
    <w:rsid w:val="001C52DD"/>
    <w:rsid w:val="001F0C91"/>
    <w:rsid w:val="0020589A"/>
    <w:rsid w:val="00217632"/>
    <w:rsid w:val="00221458"/>
    <w:rsid w:val="00240991"/>
    <w:rsid w:val="00261D7E"/>
    <w:rsid w:val="00265A64"/>
    <w:rsid w:val="00272C7A"/>
    <w:rsid w:val="00286A9A"/>
    <w:rsid w:val="0029362D"/>
    <w:rsid w:val="002B2EB4"/>
    <w:rsid w:val="002C6CD4"/>
    <w:rsid w:val="002D7171"/>
    <w:rsid w:val="00314480"/>
    <w:rsid w:val="00344237"/>
    <w:rsid w:val="00346864"/>
    <w:rsid w:val="00347020"/>
    <w:rsid w:val="003674F9"/>
    <w:rsid w:val="003920C2"/>
    <w:rsid w:val="00394303"/>
    <w:rsid w:val="003A0AED"/>
    <w:rsid w:val="003B24FD"/>
    <w:rsid w:val="003C598E"/>
    <w:rsid w:val="003D4937"/>
    <w:rsid w:val="003D7C32"/>
    <w:rsid w:val="003E46CD"/>
    <w:rsid w:val="003E7A32"/>
    <w:rsid w:val="003F0D3B"/>
    <w:rsid w:val="00402B27"/>
    <w:rsid w:val="004224EA"/>
    <w:rsid w:val="0042514B"/>
    <w:rsid w:val="00432900"/>
    <w:rsid w:val="00436D64"/>
    <w:rsid w:val="00443CD5"/>
    <w:rsid w:val="00446171"/>
    <w:rsid w:val="00457627"/>
    <w:rsid w:val="00460938"/>
    <w:rsid w:val="0047031D"/>
    <w:rsid w:val="0047076C"/>
    <w:rsid w:val="0049343A"/>
    <w:rsid w:val="00497BCC"/>
    <w:rsid w:val="00497E86"/>
    <w:rsid w:val="004A3446"/>
    <w:rsid w:val="004A3828"/>
    <w:rsid w:val="004A430C"/>
    <w:rsid w:val="004B4B23"/>
    <w:rsid w:val="004B5C9A"/>
    <w:rsid w:val="004B67B4"/>
    <w:rsid w:val="004B7196"/>
    <w:rsid w:val="004F1B01"/>
    <w:rsid w:val="004F727D"/>
    <w:rsid w:val="0050016C"/>
    <w:rsid w:val="00514F02"/>
    <w:rsid w:val="00521246"/>
    <w:rsid w:val="005230D7"/>
    <w:rsid w:val="00524715"/>
    <w:rsid w:val="005652B7"/>
    <w:rsid w:val="005708EB"/>
    <w:rsid w:val="00576328"/>
    <w:rsid w:val="005837D6"/>
    <w:rsid w:val="00587150"/>
    <w:rsid w:val="00594838"/>
    <w:rsid w:val="005A6F6E"/>
    <w:rsid w:val="005D5F47"/>
    <w:rsid w:val="005E5972"/>
    <w:rsid w:val="005F00F3"/>
    <w:rsid w:val="00627A8F"/>
    <w:rsid w:val="00642B62"/>
    <w:rsid w:val="006468B8"/>
    <w:rsid w:val="006809D8"/>
    <w:rsid w:val="00683955"/>
    <w:rsid w:val="006942B6"/>
    <w:rsid w:val="006B06D7"/>
    <w:rsid w:val="006B2782"/>
    <w:rsid w:val="006B3D0E"/>
    <w:rsid w:val="006C3630"/>
    <w:rsid w:val="006C52F5"/>
    <w:rsid w:val="006C5B87"/>
    <w:rsid w:val="006D781E"/>
    <w:rsid w:val="006E2E75"/>
    <w:rsid w:val="006E7C2D"/>
    <w:rsid w:val="006F1F67"/>
    <w:rsid w:val="007022E8"/>
    <w:rsid w:val="00705B90"/>
    <w:rsid w:val="00722E61"/>
    <w:rsid w:val="007822BC"/>
    <w:rsid w:val="007919FB"/>
    <w:rsid w:val="007951E0"/>
    <w:rsid w:val="007A2CCF"/>
    <w:rsid w:val="007A5F07"/>
    <w:rsid w:val="007A7019"/>
    <w:rsid w:val="007B783D"/>
    <w:rsid w:val="007D020B"/>
    <w:rsid w:val="007F00F0"/>
    <w:rsid w:val="007F2AF2"/>
    <w:rsid w:val="008103BF"/>
    <w:rsid w:val="00813450"/>
    <w:rsid w:val="008239E1"/>
    <w:rsid w:val="0083625B"/>
    <w:rsid w:val="0084503E"/>
    <w:rsid w:val="00864C3B"/>
    <w:rsid w:val="008656C7"/>
    <w:rsid w:val="00870080"/>
    <w:rsid w:val="008813E6"/>
    <w:rsid w:val="00882875"/>
    <w:rsid w:val="008B62FC"/>
    <w:rsid w:val="008C0ADA"/>
    <w:rsid w:val="00932E8B"/>
    <w:rsid w:val="00941739"/>
    <w:rsid w:val="00952305"/>
    <w:rsid w:val="009809D1"/>
    <w:rsid w:val="009B68A6"/>
    <w:rsid w:val="009F29CE"/>
    <w:rsid w:val="00A15D0A"/>
    <w:rsid w:val="00A450FD"/>
    <w:rsid w:val="00A46282"/>
    <w:rsid w:val="00A82660"/>
    <w:rsid w:val="00A827E0"/>
    <w:rsid w:val="00A92EFE"/>
    <w:rsid w:val="00AA67D1"/>
    <w:rsid w:val="00AB0649"/>
    <w:rsid w:val="00AE1DE8"/>
    <w:rsid w:val="00AE74F0"/>
    <w:rsid w:val="00B03804"/>
    <w:rsid w:val="00B062B4"/>
    <w:rsid w:val="00B1080B"/>
    <w:rsid w:val="00B23510"/>
    <w:rsid w:val="00B65606"/>
    <w:rsid w:val="00B77317"/>
    <w:rsid w:val="00B97EAF"/>
    <w:rsid w:val="00BA1423"/>
    <w:rsid w:val="00BA376D"/>
    <w:rsid w:val="00BC4099"/>
    <w:rsid w:val="00BD62AB"/>
    <w:rsid w:val="00BE4307"/>
    <w:rsid w:val="00BE76D0"/>
    <w:rsid w:val="00C05A0A"/>
    <w:rsid w:val="00C13DD3"/>
    <w:rsid w:val="00C21A46"/>
    <w:rsid w:val="00C51675"/>
    <w:rsid w:val="00C6196A"/>
    <w:rsid w:val="00C74429"/>
    <w:rsid w:val="00CB1336"/>
    <w:rsid w:val="00CD70B6"/>
    <w:rsid w:val="00CE3DE0"/>
    <w:rsid w:val="00CE4E87"/>
    <w:rsid w:val="00D322FE"/>
    <w:rsid w:val="00D42C54"/>
    <w:rsid w:val="00D431CF"/>
    <w:rsid w:val="00D5091B"/>
    <w:rsid w:val="00D62A82"/>
    <w:rsid w:val="00DB5F0E"/>
    <w:rsid w:val="00DB7CB9"/>
    <w:rsid w:val="00E4018E"/>
    <w:rsid w:val="00E500E6"/>
    <w:rsid w:val="00E73CA0"/>
    <w:rsid w:val="00EB54E5"/>
    <w:rsid w:val="00EC10A5"/>
    <w:rsid w:val="00EF276D"/>
    <w:rsid w:val="00EF7EB2"/>
    <w:rsid w:val="00F20BE5"/>
    <w:rsid w:val="00F26D10"/>
    <w:rsid w:val="00F51AD3"/>
    <w:rsid w:val="00F55148"/>
    <w:rsid w:val="00F87032"/>
    <w:rsid w:val="00FC624B"/>
    <w:rsid w:val="00FF1003"/>
    <w:rsid w:val="04001D15"/>
    <w:rsid w:val="04AC229A"/>
    <w:rsid w:val="05E73961"/>
    <w:rsid w:val="06809CA9"/>
    <w:rsid w:val="06843316"/>
    <w:rsid w:val="06A81998"/>
    <w:rsid w:val="078309C2"/>
    <w:rsid w:val="09BE67DF"/>
    <w:rsid w:val="09FF9BD7"/>
    <w:rsid w:val="0B9B6C38"/>
    <w:rsid w:val="1060C15A"/>
    <w:rsid w:val="118773DC"/>
    <w:rsid w:val="12211392"/>
    <w:rsid w:val="141A38F6"/>
    <w:rsid w:val="14811174"/>
    <w:rsid w:val="14951611"/>
    <w:rsid w:val="15B60957"/>
    <w:rsid w:val="1643259C"/>
    <w:rsid w:val="17CF1F4B"/>
    <w:rsid w:val="1A657A18"/>
    <w:rsid w:val="1A6DDB72"/>
    <w:rsid w:val="1B5242C1"/>
    <w:rsid w:val="1D8BC1AF"/>
    <w:rsid w:val="1F5FF19D"/>
    <w:rsid w:val="23C48F6D"/>
    <w:rsid w:val="2B7159B8"/>
    <w:rsid w:val="2C9DF8C1"/>
    <w:rsid w:val="2CF1C28D"/>
    <w:rsid w:val="2E55773C"/>
    <w:rsid w:val="319412E1"/>
    <w:rsid w:val="31D57268"/>
    <w:rsid w:val="33048F25"/>
    <w:rsid w:val="3325289D"/>
    <w:rsid w:val="332FE342"/>
    <w:rsid w:val="3531FBE8"/>
    <w:rsid w:val="36D22F1D"/>
    <w:rsid w:val="37F899C0"/>
    <w:rsid w:val="3B3AF527"/>
    <w:rsid w:val="3E5C3013"/>
    <w:rsid w:val="41334A0C"/>
    <w:rsid w:val="42AC6119"/>
    <w:rsid w:val="43531E96"/>
    <w:rsid w:val="453F2C70"/>
    <w:rsid w:val="48095C2A"/>
    <w:rsid w:val="48A59021"/>
    <w:rsid w:val="4F4A2BEC"/>
    <w:rsid w:val="4F583F71"/>
    <w:rsid w:val="4F635449"/>
    <w:rsid w:val="52903A66"/>
    <w:rsid w:val="53593440"/>
    <w:rsid w:val="542C0AC7"/>
    <w:rsid w:val="576E662E"/>
    <w:rsid w:val="59A2B9E8"/>
    <w:rsid w:val="5B3CD987"/>
    <w:rsid w:val="5D9BE289"/>
    <w:rsid w:val="5E80584B"/>
    <w:rsid w:val="5F1D1F2F"/>
    <w:rsid w:val="5F9A1D90"/>
    <w:rsid w:val="608AA36B"/>
    <w:rsid w:val="60FC2017"/>
    <w:rsid w:val="629FDDFE"/>
    <w:rsid w:val="62AE4BB6"/>
    <w:rsid w:val="63B6D210"/>
    <w:rsid w:val="6444A981"/>
    <w:rsid w:val="65EB53E5"/>
    <w:rsid w:val="6816AF4D"/>
    <w:rsid w:val="69993652"/>
    <w:rsid w:val="6B96C550"/>
    <w:rsid w:val="6C4F6BEF"/>
    <w:rsid w:val="71337B4E"/>
    <w:rsid w:val="745BCF7E"/>
    <w:rsid w:val="7576B5EB"/>
    <w:rsid w:val="77298045"/>
    <w:rsid w:val="790EDD76"/>
    <w:rsid w:val="79D3458B"/>
    <w:rsid w:val="7A099A34"/>
    <w:rsid w:val="7B6E07E3"/>
    <w:rsid w:val="7BB4D6A0"/>
    <w:rsid w:val="7DF26EFC"/>
    <w:rsid w:val="7E758AC3"/>
    <w:rsid w:val="7EEC7762"/>
    <w:rsid w:val="7FE9E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B28E9"/>
  <w15:chartTrackingRefBased/>
  <w15:docId w15:val="{054FF90C-AC1B-4AD4-9648-63058AA41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2514B"/>
    <w:rPr>
      <w:b/>
      <w:bCs/>
    </w:rPr>
  </w:style>
  <w:style w:type="paragraph" w:styleId="ListParagraph">
    <w:name w:val="List Paragraph"/>
    <w:basedOn w:val="Normal"/>
    <w:link w:val="ListParagraphChar"/>
    <w:uiPriority w:val="34"/>
    <w:qFormat/>
    <w:rsid w:val="0042514B"/>
    <w:pPr>
      <w:ind w:left="720"/>
      <w:contextualSpacing/>
    </w:pPr>
  </w:style>
  <w:style w:type="paragraph" w:styleId="Header">
    <w:name w:val="header"/>
    <w:basedOn w:val="Normal"/>
    <w:link w:val="HeaderChar"/>
    <w:uiPriority w:val="99"/>
    <w:unhideWhenUsed/>
    <w:rsid w:val="00436D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D64"/>
  </w:style>
  <w:style w:type="paragraph" w:styleId="Footer">
    <w:name w:val="footer"/>
    <w:basedOn w:val="Normal"/>
    <w:link w:val="FooterChar"/>
    <w:uiPriority w:val="99"/>
    <w:unhideWhenUsed/>
    <w:rsid w:val="00436D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D64"/>
  </w:style>
  <w:style w:type="character" w:styleId="Emphasis">
    <w:name w:val="Emphasis"/>
    <w:basedOn w:val="DefaultParagraphFont"/>
    <w:uiPriority w:val="20"/>
    <w:qFormat/>
    <w:rsid w:val="00460938"/>
    <w:rPr>
      <w:i/>
      <w:iCs/>
    </w:rPr>
  </w:style>
  <w:style w:type="paragraph" w:styleId="NoSpacing">
    <w:name w:val="No Spacing"/>
    <w:uiPriority w:val="1"/>
    <w:qFormat/>
    <w:rsid w:val="005F00F3"/>
    <w:pPr>
      <w:spacing w:after="0" w:line="240" w:lineRule="auto"/>
    </w:pPr>
  </w:style>
  <w:style w:type="character" w:styleId="Hyperlink">
    <w:name w:val="Hyperlink"/>
    <w:basedOn w:val="DefaultParagraphFont"/>
    <w:uiPriority w:val="99"/>
    <w:unhideWhenUsed/>
    <w:rsid w:val="005F00F3"/>
    <w:rPr>
      <w:color w:val="0563C1" w:themeColor="hyperlink"/>
      <w:u w:val="single"/>
    </w:rPr>
  </w:style>
  <w:style w:type="character" w:styleId="UnresolvedMention">
    <w:name w:val="Unresolved Mention"/>
    <w:basedOn w:val="DefaultParagraphFont"/>
    <w:uiPriority w:val="99"/>
    <w:semiHidden/>
    <w:unhideWhenUsed/>
    <w:rsid w:val="005F00F3"/>
    <w:rPr>
      <w:color w:val="605E5C"/>
      <w:shd w:val="clear" w:color="auto" w:fill="E1DFDD"/>
    </w:rPr>
  </w:style>
  <w:style w:type="paragraph" w:styleId="FootnoteText">
    <w:name w:val="footnote text"/>
    <w:basedOn w:val="Normal"/>
    <w:link w:val="FootnoteTextChar"/>
    <w:uiPriority w:val="99"/>
    <w:semiHidden/>
    <w:unhideWhenUsed/>
    <w:rsid w:val="008239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39E1"/>
    <w:rPr>
      <w:sz w:val="20"/>
      <w:szCs w:val="20"/>
    </w:rPr>
  </w:style>
  <w:style w:type="character" w:styleId="FootnoteReference">
    <w:name w:val="footnote reference"/>
    <w:basedOn w:val="DefaultParagraphFont"/>
    <w:uiPriority w:val="99"/>
    <w:semiHidden/>
    <w:unhideWhenUsed/>
    <w:rsid w:val="008239E1"/>
    <w:rPr>
      <w:vertAlign w:val="superscript"/>
    </w:rPr>
  </w:style>
  <w:style w:type="character" w:customStyle="1" w:styleId="al-author-delim">
    <w:name w:val="al-author-delim"/>
    <w:basedOn w:val="DefaultParagraphFont"/>
    <w:rsid w:val="00DB5F0E"/>
  </w:style>
  <w:style w:type="character" w:customStyle="1" w:styleId="Subtitle1">
    <w:name w:val="Subtitle1"/>
    <w:basedOn w:val="DefaultParagraphFont"/>
    <w:rsid w:val="00DB5F0E"/>
  </w:style>
  <w:style w:type="character" w:customStyle="1" w:styleId="colon-for-citation-subtitle">
    <w:name w:val="colon-for-citation-subtitle"/>
    <w:basedOn w:val="DefaultParagraphFont"/>
    <w:rsid w:val="00DB5F0E"/>
  </w:style>
  <w:style w:type="paragraph" w:customStyle="1" w:styleId="DocID">
    <w:name w:val="DocID"/>
    <w:basedOn w:val="Footer"/>
    <w:next w:val="Footer"/>
    <w:link w:val="DocIDChar"/>
    <w:rsid w:val="00705B90"/>
    <w:pPr>
      <w:tabs>
        <w:tab w:val="clear" w:pos="4680"/>
        <w:tab w:val="clear" w:pos="9360"/>
      </w:tabs>
    </w:pPr>
    <w:rPr>
      <w:rFonts w:ascii="Times New Roman" w:eastAsia="Times New Roman" w:hAnsi="Times New Roman" w:cs="Times New Roman"/>
      <w:sz w:val="16"/>
      <w:szCs w:val="20"/>
    </w:rPr>
  </w:style>
  <w:style w:type="character" w:customStyle="1" w:styleId="DocIDChar">
    <w:name w:val="DocID Char"/>
    <w:basedOn w:val="DefaultParagraphFont"/>
    <w:link w:val="DocID"/>
    <w:rsid w:val="00705B90"/>
    <w:rPr>
      <w:rFonts w:ascii="Times New Roman" w:eastAsia="Times New Roman" w:hAnsi="Times New Roman" w:cs="Times New Roman"/>
      <w:sz w:val="16"/>
      <w:szCs w:val="20"/>
    </w:rPr>
  </w:style>
  <w:style w:type="character" w:customStyle="1" w:styleId="ListParagraphChar">
    <w:name w:val="List Paragraph Char"/>
    <w:basedOn w:val="DefaultParagraphFont"/>
    <w:link w:val="ListParagraph"/>
    <w:uiPriority w:val="34"/>
    <w:rsid w:val="00705B90"/>
  </w:style>
  <w:style w:type="paragraph" w:styleId="PlainText">
    <w:name w:val="Plain Text"/>
    <w:basedOn w:val="Normal"/>
    <w:link w:val="PlainTextChar"/>
    <w:uiPriority w:val="99"/>
    <w:semiHidden/>
    <w:unhideWhenUsed/>
    <w:rsid w:val="00705B9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705B90"/>
    <w:rPr>
      <w:rFonts w:ascii="Calibri" w:hAnsi="Calibri"/>
      <w:szCs w:val="21"/>
    </w:rPr>
  </w:style>
  <w:style w:type="paragraph" w:styleId="NormalWeb">
    <w:name w:val="Normal (Web)"/>
    <w:basedOn w:val="Normal"/>
    <w:uiPriority w:val="99"/>
    <w:semiHidden/>
    <w:unhideWhenUsed/>
    <w:rsid w:val="00705B90"/>
    <w:pPr>
      <w:spacing w:after="0" w:line="240" w:lineRule="auto"/>
    </w:pPr>
    <w:rPr>
      <w:rFonts w:ascii="Calibri" w:hAnsi="Calibri" w:cs="Calibri"/>
    </w:rPr>
  </w:style>
  <w:style w:type="paragraph" w:styleId="Revision">
    <w:name w:val="Revision"/>
    <w:hidden/>
    <w:uiPriority w:val="99"/>
    <w:semiHidden/>
    <w:rsid w:val="00D322FE"/>
    <w:pPr>
      <w:spacing w:after="0" w:line="240" w:lineRule="auto"/>
    </w:pPr>
  </w:style>
  <w:style w:type="character" w:styleId="CommentReference">
    <w:name w:val="annotation reference"/>
    <w:basedOn w:val="DefaultParagraphFont"/>
    <w:uiPriority w:val="99"/>
    <w:semiHidden/>
    <w:unhideWhenUsed/>
    <w:rsid w:val="003E7A32"/>
    <w:rPr>
      <w:sz w:val="16"/>
      <w:szCs w:val="16"/>
    </w:rPr>
  </w:style>
  <w:style w:type="paragraph" w:styleId="CommentText">
    <w:name w:val="annotation text"/>
    <w:basedOn w:val="Normal"/>
    <w:link w:val="CommentTextChar"/>
    <w:uiPriority w:val="99"/>
    <w:unhideWhenUsed/>
    <w:rsid w:val="003E7A32"/>
    <w:pPr>
      <w:spacing w:line="240" w:lineRule="auto"/>
    </w:pPr>
    <w:rPr>
      <w:sz w:val="20"/>
      <w:szCs w:val="20"/>
    </w:rPr>
  </w:style>
  <w:style w:type="character" w:customStyle="1" w:styleId="CommentTextChar">
    <w:name w:val="Comment Text Char"/>
    <w:basedOn w:val="DefaultParagraphFont"/>
    <w:link w:val="CommentText"/>
    <w:uiPriority w:val="99"/>
    <w:rsid w:val="003E7A32"/>
    <w:rPr>
      <w:sz w:val="20"/>
      <w:szCs w:val="20"/>
    </w:rPr>
  </w:style>
  <w:style w:type="paragraph" w:styleId="CommentSubject">
    <w:name w:val="annotation subject"/>
    <w:basedOn w:val="CommentText"/>
    <w:next w:val="CommentText"/>
    <w:link w:val="CommentSubjectChar"/>
    <w:uiPriority w:val="99"/>
    <w:semiHidden/>
    <w:unhideWhenUsed/>
    <w:rsid w:val="003E7A32"/>
    <w:rPr>
      <w:b/>
      <w:bCs/>
    </w:rPr>
  </w:style>
  <w:style w:type="character" w:customStyle="1" w:styleId="CommentSubjectChar">
    <w:name w:val="Comment Subject Char"/>
    <w:basedOn w:val="CommentTextChar"/>
    <w:link w:val="CommentSubject"/>
    <w:uiPriority w:val="99"/>
    <w:semiHidden/>
    <w:rsid w:val="003E7A32"/>
    <w:rPr>
      <w:b/>
      <w:bCs/>
      <w:sz w:val="20"/>
      <w:szCs w:val="20"/>
    </w:rPr>
  </w:style>
  <w:style w:type="paragraph" w:styleId="EndnoteText">
    <w:name w:val="endnote text"/>
    <w:basedOn w:val="Normal"/>
    <w:link w:val="EndnoteTextChar"/>
    <w:uiPriority w:val="99"/>
    <w:semiHidden/>
    <w:unhideWhenUsed/>
    <w:rsid w:val="0052124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1246"/>
    <w:rPr>
      <w:sz w:val="20"/>
      <w:szCs w:val="20"/>
    </w:rPr>
  </w:style>
  <w:style w:type="character" w:styleId="EndnoteReference">
    <w:name w:val="endnote reference"/>
    <w:basedOn w:val="DefaultParagraphFont"/>
    <w:uiPriority w:val="99"/>
    <w:semiHidden/>
    <w:unhideWhenUsed/>
    <w:rsid w:val="00521246"/>
    <w:rPr>
      <w:vertAlign w:val="superscript"/>
    </w:rPr>
  </w:style>
  <w:style w:type="character" w:styleId="FollowedHyperlink">
    <w:name w:val="FollowedHyperlink"/>
    <w:basedOn w:val="DefaultParagraphFont"/>
    <w:uiPriority w:val="99"/>
    <w:semiHidden/>
    <w:unhideWhenUsed/>
    <w:rsid w:val="00514F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659490">
      <w:bodyDiv w:val="1"/>
      <w:marLeft w:val="0"/>
      <w:marRight w:val="0"/>
      <w:marTop w:val="0"/>
      <w:marBottom w:val="0"/>
      <w:divBdr>
        <w:top w:val="none" w:sz="0" w:space="0" w:color="auto"/>
        <w:left w:val="none" w:sz="0" w:space="0" w:color="auto"/>
        <w:bottom w:val="none" w:sz="0" w:space="0" w:color="auto"/>
        <w:right w:val="none" w:sz="0" w:space="0" w:color="auto"/>
      </w:divBdr>
    </w:div>
    <w:div w:id="18076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ian.Lee@alston.com"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Tara.Hall@cms.hhs.gov" TargetMode="Externa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dCACpresentations@cms.hhs.gov"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2337/dc24-S0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5AB2F29CDF2441A77234AAC2D8A0E1" ma:contentTypeVersion="16" ma:contentTypeDescription="Create a new document." ma:contentTypeScope="" ma:versionID="24640a4fd728023172f18768a5b9ee62">
  <xsd:schema xmlns:xsd="http://www.w3.org/2001/XMLSchema" xmlns:xs="http://www.w3.org/2001/XMLSchema" xmlns:p="http://schemas.microsoft.com/office/2006/metadata/properties" xmlns:ns3="9e67f616-b3a0-4e24-9ff1-b2ef002efe10" xmlns:ns4="8515ca3f-b674-4390-8957-fa4e9f2405eb" targetNamespace="http://schemas.microsoft.com/office/2006/metadata/properties" ma:root="true" ma:fieldsID="6ac6c1013e2534f6f9258dd314dceefd" ns3:_="" ns4:_="">
    <xsd:import namespace="9e67f616-b3a0-4e24-9ff1-b2ef002efe10"/>
    <xsd:import namespace="8515ca3f-b674-4390-8957-fa4e9f2405e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f616-b3a0-4e24-9ff1-b2ef002ef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15ca3f-b674-4390-8957-fa4e9f2405e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67f616-b3a0-4e24-9ff1-b2ef002efe10" xsi:nil="true"/>
  </documentManagement>
</p:properties>
</file>

<file path=customXml/itemProps1.xml><?xml version="1.0" encoding="utf-8"?>
<ds:datastoreItem xmlns:ds="http://schemas.openxmlformats.org/officeDocument/2006/customXml" ds:itemID="{04F8E33F-A921-4704-AE39-1485361CD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f616-b3a0-4e24-9ff1-b2ef002efe10"/>
    <ds:schemaRef ds:uri="8515ca3f-b674-4390-8957-fa4e9f2405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1A087-A781-4359-861A-1A78DFCD0AF5}">
  <ds:schemaRefs>
    <ds:schemaRef ds:uri="http://schemas.openxmlformats.org/officeDocument/2006/bibliography"/>
  </ds:schemaRefs>
</ds:datastoreItem>
</file>

<file path=customXml/itemProps3.xml><?xml version="1.0" encoding="utf-8"?>
<ds:datastoreItem xmlns:ds="http://schemas.openxmlformats.org/officeDocument/2006/customXml" ds:itemID="{CB20479E-1A19-4A57-A239-0317F38B163D}">
  <ds:schemaRefs>
    <ds:schemaRef ds:uri="http://schemas.microsoft.com/sharepoint/v3/contenttype/forms"/>
  </ds:schemaRefs>
</ds:datastoreItem>
</file>

<file path=customXml/itemProps4.xml><?xml version="1.0" encoding="utf-8"?>
<ds:datastoreItem xmlns:ds="http://schemas.openxmlformats.org/officeDocument/2006/customXml" ds:itemID="{AA0B1AEE-8D85-4A3B-9A03-11BC19C75CF7}">
  <ds:schemaRefs>
    <ds:schemaRef ds:uri="http://schemas.microsoft.com/office/2006/metadata/properties"/>
    <ds:schemaRef ds:uri="http://schemas.microsoft.com/office/infopath/2007/PartnerControls"/>
    <ds:schemaRef ds:uri="9e67f616-b3a0-4e24-9ff1-b2ef002efe1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Jesse Bushman</dc:creator>
  <cp:keywords/>
  <dc:description/>
  <cp:lastModifiedBy>Alston &amp; Bird (YBL)</cp:lastModifiedBy>
  <cp:revision>2</cp:revision>
  <dcterms:created xsi:type="dcterms:W3CDTF">2024-04-30T16:15:00Z</dcterms:created>
  <dcterms:modified xsi:type="dcterms:W3CDTF">2024-04-30T16:15:00Z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0x0101005B5AB2F29CDF2441A77234AAC2D8A0E1</vt:lpwstr>
  </property>
  <property fmtid="{D5CDD505-2E9C-101B-9397-08002B2CF9AE}" pid="3" name="DOCXDOCID">
    <vt:lpwstr>LEGAL02/44299478v6</vt:lpwstr>
  </property>
  <property fmtid="{D5CDD505-2E9C-101B-9397-08002B2CF9AE}" pid="4" name="DocXFormat">
    <vt:lpwstr>Alston &amp; Bird</vt:lpwstr>
  </property>
  <property fmtid="{D5CDD505-2E9C-101B-9397-08002B2CF9AE}" pid="5" name="DocXLocation">
    <vt:lpwstr>EveryPage</vt:lpwstr>
  </property>
</Properties>
</file>